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F87" w:rsidRPr="009553EB" w:rsidRDefault="008C36A6" w:rsidP="00592808">
      <w:pPr>
        <w:autoSpaceDE w:val="0"/>
        <w:autoSpaceDN w:val="0"/>
        <w:adjustRightInd w:val="0"/>
        <w:spacing w:after="0" w:line="276" w:lineRule="auto"/>
        <w:jc w:val="both"/>
        <w:rPr>
          <w:rFonts w:ascii="Times New Roman" w:hAnsi="Times New Roman" w:cs="Times New Roman"/>
          <w:b/>
          <w:bCs/>
          <w:color w:val="231F20"/>
          <w:sz w:val="24"/>
          <w:szCs w:val="24"/>
        </w:rPr>
      </w:pPr>
      <w:r w:rsidRPr="008C36A6">
        <w:rPr>
          <w:rFonts w:ascii="Times New Roman" w:hAnsi="Times New Roman" w:cs="Times New Roman"/>
          <w:b/>
          <w:noProof/>
          <w:sz w:val="24"/>
          <w:szCs w:val="24"/>
          <w:u w:val="single"/>
          <w:lang w:val="en-US"/>
        </w:rPr>
        <w:pict>
          <v:shapetype id="_x0000_t202" coordsize="21600,21600" o:spt="202" path="m,l,21600r21600,l21600,xe">
            <v:stroke joinstyle="miter"/>
            <v:path gradientshapeok="t" o:connecttype="rect"/>
          </v:shapetype>
          <v:shape id="_x0000_s1036" type="#_x0000_t202" style="position:absolute;left:0;text-align:left;margin-left:-12pt;margin-top:7.1pt;width:77.25pt;height:21.4pt;z-index:251662848" fillcolor="#a5a5a5 [3206]" strokecolor="#f2f2f2 [3041]" strokeweight="3pt">
            <v:shadow on="t" type="perspective" color="#525252 [1606]" opacity=".5" offset="1pt" offset2="-1pt"/>
            <v:textbox>
              <w:txbxContent>
                <w:p w:rsidR="004C5104" w:rsidRDefault="004C5104">
                  <w:r>
                    <w:t>Case Report</w:t>
                  </w:r>
                </w:p>
              </w:txbxContent>
            </v:textbox>
          </v:shape>
        </w:pict>
      </w:r>
      <w:r w:rsidRPr="008C36A6">
        <w:rPr>
          <w:rFonts w:ascii="Times New Roman" w:hAnsi="Times New Roman" w:cs="Times New Roman"/>
          <w:b/>
          <w:noProof/>
          <w:sz w:val="24"/>
          <w:szCs w:val="24"/>
          <w:u w:val="single"/>
          <w:lang w:eastAsia="en-IN"/>
        </w:rPr>
        <w:pict>
          <v:shapetype id="_x0000_t32" coordsize="21600,21600" o:spt="32" o:oned="t" path="m,l21600,21600e" filled="f">
            <v:path arrowok="t" fillok="f" o:connecttype="none"/>
            <o:lock v:ext="edit" shapetype="t"/>
          </v:shapetype>
          <v:shape id="Straight Arrow Connector 29" o:spid="_x0000_s1026" type="#_x0000_t32" style="position:absolute;left:0;text-align:left;margin-left:-17pt;margin-top:3.5pt;width:503pt;height:3.6pt;flip:y;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64MQIAAFoEAAAOAAAAZHJzL2Uyb0RvYy54bWysVE2P2jAQvVfqf7B8hyRsYCEirFYJ9LJt&#10;kdj2bmyHWHVsyzYEVPW/d2w+yraXqmoOzjgz8/xm5jnzp2Mn0YFbJ7QqcTZMMeKKaibUrsRfXleD&#10;KUbOE8WI1IqX+MQdflq8fzfvTcFHutWScYsARLmiNyVuvTdFkjja8o64oTZcgbPRtiMetnaXMEt6&#10;QO9kMkrTSdJry4zVlDsHX+uzEy8iftNw6j83jeMeyRIDNx9XG9dtWJPFnBQ7S0wr6IUG+QcWHREK&#10;Dr1B1cQTtLfiD6hOUKudbvyQ6i7RTSMojzVANVn6WzWblhgea4HmOHNrk/t/sPTTYW2RYCUezTBS&#10;pIMZbbwlYtd69Gyt7lGllYI+aosgBPrVG1dAWqXWNlRMj2pjXjT95pDSVUvUjkferycDWFnISN6k&#10;hI0zcOq2/6gZxJC917F5x8Z2qJHCfA2JARwahI5xWqfbtPjRIwofJw/TaZbCUCn48vFjFtklpAgw&#10;IdlY5z9w3aFglNhdyrrVcz6CHF6cDyR/JYRkpVdCyigPqVBf4tl4NI6cnJaCBWcIc3a3raRFBxIE&#10;Fp9YMXjuw6zeKxbBWk7Y8mJ7IuTZhsOlCnhQHNC5WGcFfZ+ls+V0Oc0H+WiyHORpXQ+eV1U+mKyy&#10;x3H9UFdVnf0I1LK8aAVjXAV2VzVn+d+p5XKvzjq86fnWhuQteuwXkL2+I+k45zDas0i2mp3W9jp/&#10;EHAMvly2cEPu92Df/xIWPwEAAP//AwBQSwMEFAAGAAgAAAAhAGlrxOPdAAAACAEAAA8AAABkcnMv&#10;ZG93bnJldi54bWxMj0FPg0AQhe8m/Q+bMfHWLiIpFVmaxkTjwZBY9b5lR6BlZ5HdAv33jic9zUze&#10;y5vv5dvZdmLEwbeOFNyuIhBIlTMt1Qo+3p+WGxA+aDK6c4QKLuhhWyyucp0ZN9EbjvtQCw4hn2kF&#10;TQh9JqWvGrTar1yPxNqXG6wOfA61NIOeONx2Mo6itbS6Jf7Q6B4fG6xO+7NV8E3p5TOR4+ZYlmH9&#10;/PJaE5aTUjfX8+4BRMA5/JnhF5/RoWCmgzuT8aJTsLxLuEtQkPJg/T6NeTmwMYlBFrn8X6D4AQAA&#10;//8DAFBLAQItABQABgAIAAAAIQC2gziS/gAAAOEBAAATAAAAAAAAAAAAAAAAAAAAAABbQ29udGVu&#10;dF9UeXBlc10ueG1sUEsBAi0AFAAGAAgAAAAhADj9If/WAAAAlAEAAAsAAAAAAAAAAAAAAAAALwEA&#10;AF9yZWxzLy5yZWxzUEsBAi0AFAAGAAgAAAAhAJwmzrgxAgAAWgQAAA4AAAAAAAAAAAAAAAAALgIA&#10;AGRycy9lMm9Eb2MueG1sUEsBAi0AFAAGAAgAAAAhAGlrxOPdAAAACAEAAA8AAAAAAAAAAAAAAAAA&#10;iwQAAGRycy9kb3ducmV2LnhtbFBLBQYAAAAABAAEAPMAAACVBQAAAAA=&#10;"/>
        </w:pict>
      </w:r>
    </w:p>
    <w:p w:rsidR="00C83F87" w:rsidRPr="009553EB" w:rsidRDefault="00C83F87" w:rsidP="00592808">
      <w:pPr>
        <w:spacing w:line="276" w:lineRule="auto"/>
        <w:jc w:val="both"/>
        <w:rPr>
          <w:rFonts w:ascii="Times New Roman" w:eastAsia="Times New Roman" w:hAnsi="Times New Roman" w:cs="Times New Roman"/>
          <w:b/>
          <w:color w:val="231F20"/>
          <w:sz w:val="24"/>
          <w:szCs w:val="24"/>
        </w:rPr>
      </w:pPr>
      <w:r w:rsidRPr="009553EB">
        <w:rPr>
          <w:rFonts w:ascii="Times New Roman" w:hAnsi="Times New Roman" w:cs="Times New Roman"/>
          <w:b/>
          <w:sz w:val="24"/>
          <w:szCs w:val="24"/>
          <w:u w:val="single"/>
        </w:rPr>
        <w:t>Case report</w:t>
      </w:r>
    </w:p>
    <w:p w:rsidR="00C83F87" w:rsidRPr="00C83F87" w:rsidRDefault="00C83F87" w:rsidP="00592808">
      <w:pPr>
        <w:spacing w:line="276"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Management of Supernumerary teeth in the Maxillary anterior region</w:t>
      </w:r>
      <w:r w:rsidR="005C5BDA">
        <w:rPr>
          <w:rFonts w:ascii="Times New Roman" w:eastAsia="Times New Roman" w:hAnsi="Times New Roman" w:cs="Times New Roman"/>
          <w:b/>
          <w:color w:val="231F20"/>
          <w:sz w:val="24"/>
          <w:szCs w:val="24"/>
        </w:rPr>
        <w:t>- a case series</w:t>
      </w:r>
      <w:bookmarkStart w:id="0" w:name="_GoBack"/>
      <w:bookmarkEnd w:id="0"/>
    </w:p>
    <w:p w:rsidR="00C83F87" w:rsidRPr="009553EB" w:rsidRDefault="00C83F87" w:rsidP="00592808">
      <w:pPr>
        <w:spacing w:line="276" w:lineRule="auto"/>
        <w:jc w:val="both"/>
        <w:rPr>
          <w:rFonts w:ascii="Times New Roman" w:eastAsia="Times New Roman" w:hAnsi="Times New Roman" w:cs="Times New Roman"/>
          <w:iCs/>
          <w:sz w:val="24"/>
          <w:szCs w:val="24"/>
        </w:rPr>
      </w:pPr>
      <w:r w:rsidRPr="009553EB">
        <w:rPr>
          <w:rFonts w:ascii="Times New Roman" w:eastAsia="Times New Roman" w:hAnsi="Times New Roman" w:cs="Times New Roman"/>
          <w:sz w:val="24"/>
          <w:szCs w:val="24"/>
        </w:rPr>
        <w:t>Pooja Tiwari</w:t>
      </w:r>
      <w:r w:rsidRPr="009553EB">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Pr="009553EB">
        <w:rPr>
          <w:rFonts w:ascii="Times New Roman" w:eastAsia="Times New Roman" w:hAnsi="Times New Roman" w:cs="Times New Roman"/>
          <w:sz w:val="24"/>
          <w:szCs w:val="24"/>
        </w:rPr>
        <w:t>Chhaya Sharma</w:t>
      </w:r>
      <w:r w:rsidRPr="009553EB">
        <w:rPr>
          <w:rFonts w:ascii="Times New Roman" w:eastAsia="Times New Roman" w:hAnsi="Times New Roman" w:cs="Times New Roman"/>
          <w:sz w:val="24"/>
          <w:szCs w:val="24"/>
          <w:vertAlign w:val="superscript"/>
        </w:rPr>
        <w:t>1</w:t>
      </w:r>
      <w:r w:rsidRPr="009553EB">
        <w:rPr>
          <w:rFonts w:ascii="Times New Roman" w:eastAsia="Times New Roman" w:hAnsi="Times New Roman" w:cs="Times New Roman"/>
          <w:sz w:val="24"/>
          <w:szCs w:val="24"/>
        </w:rPr>
        <w:t>, Romana Nisar</w:t>
      </w:r>
      <w:r w:rsidRPr="009553EB">
        <w:rPr>
          <w:rFonts w:ascii="Times New Roman" w:eastAsia="Times New Roman" w:hAnsi="Times New Roman" w:cs="Times New Roman"/>
          <w:sz w:val="24"/>
          <w:szCs w:val="24"/>
          <w:vertAlign w:val="superscript"/>
        </w:rPr>
        <w:t>1</w:t>
      </w:r>
      <w:r w:rsidRPr="009553EB">
        <w:rPr>
          <w:rFonts w:ascii="Times New Roman" w:eastAsia="Times New Roman" w:hAnsi="Times New Roman" w:cs="Times New Roman"/>
          <w:sz w:val="24"/>
          <w:szCs w:val="24"/>
        </w:rPr>
        <w:t>, Sheeba Hassan</w:t>
      </w:r>
      <w:r w:rsidR="008C36A6" w:rsidRPr="008C36A6">
        <w:rPr>
          <w:rFonts w:ascii="Times New Roman" w:eastAsiaTheme="minorEastAsia" w:hAnsi="Times New Roman" w:cs="Times New Roman"/>
          <w:iCs/>
          <w:noProof/>
          <w:color w:val="000000" w:themeColor="text1"/>
          <w:sz w:val="24"/>
          <w:szCs w:val="24"/>
          <w:vertAlign w:val="superscript"/>
          <w:lang w:eastAsia="en-IN"/>
        </w:rPr>
        <w:pict>
          <v:shape id="Straight Arrow Connector 11" o:spid="_x0000_s1034" type="#_x0000_t32" style="position:absolute;left:0;text-align:left;margin-left:.05pt;margin-top:19.4pt;width:454.55pt;height:2.5pt;flip:y;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WzMwIAAFoEAAAOAAAAZHJzL2Uyb0RvYy54bWysVMGO2jAQvVfqP1i+syEsLBBtWK0S6GXb&#10;RWLbu7EdYtXxWLaXgKr+e8eGpaW9VFVzcOx45vm9N+PcPxw6TfbSeQWmpPnNkBJpOAhldiX9/LIa&#10;zCjxgRnBNBhZ0qP09GHx/t19bws5gha0kI4giPFFb0vahmCLLPO8lR3zN2Clwc0GXMcCLt0uE471&#10;iN7pbDQc3mU9OGEdcOk9fq1Pm3SR8JtG8vDcNF4GokuK3EIaXRq3ccwW96zYOWZbxc802D+w6Jgy&#10;eOgFqmaBkVen/oDqFHfgoQk3HLoMmkZxmTSgmnz4m5pNy6xMWtAcby82+f8Hyz/t144ogbXLKTGs&#10;wxptgmNq1wby6Bz0pAJj0EdwBEPQr976AtMqs3ZRMT+YjX0C/tUTA1XLzE4m3i9Hi1gpI7tKiQtv&#10;8dRt/xEExrDXAMm8Q+M60mhlv8TECI4GkUOq1vFSLXkIhOPHyXQ6ms4mlHDcu82nk1TNjBURJiZb&#10;58MHCR2Jk5L6s6yLntMRbP/kA8rCxLeEmGxgpbRO7aEN6Us6n4wmiZMHrUTcjGHe7baVdmTPYoOl&#10;J3qEYFdhDl6NSGCtZGJ5ngem9GmO8dpEPBSHdM6zUwd9mw/ny9lyNh6MR3fLwXhY14PHVTUe3K1Q&#10;dH1bV1Wdf4/U8nHRKiGkiezeujkf/123nO/VqQ8v/XyxIbtGTxKR7Ns7kU51jqU9NckWxHHtohux&#10;5NjAKfh82eIN+XWdon7+EhY/AAAA//8DAFBLAwQUAAYACAAAACEAdaWyytwAAAAGAQAADwAAAGRy&#10;cy9kb3ducmV2LnhtbEzOzU7DMBAE4DsS72AtEjfq9EclTeNUFRKIA4rUQu9uvCSh8TqN3SR9e7Yn&#10;OI5mNfulm9E2osfO144UTCcRCKTCmZpKBV+fr08xCB80Gd04QgVX9LDJ7u9SnRg30A77fSgFj5BP&#10;tIIqhDaR0hcVWu0nrkXi7tt1VgeOXSlNpwcet42cRdFSWl0Tf6h0iy8VFqf9xSo40/P1sJB9/JPn&#10;Yfn2/lES5oNSjw/jdg0i4Bj+juHGZzpkbDq6CxkvmlsWQcE8Zj+3q2g1A3FUsJjHILNU/udnvwAA&#10;AP//AwBQSwECLQAUAAYACAAAACEAtoM4kv4AAADhAQAAEwAAAAAAAAAAAAAAAAAAAAAAW0NvbnRl&#10;bnRfVHlwZXNdLnhtbFBLAQItABQABgAIAAAAIQA4/SH/1gAAAJQBAAALAAAAAAAAAAAAAAAAAC8B&#10;AABfcmVscy8ucmVsc1BLAQItABQABgAIAAAAIQBNLAWzMwIAAFoEAAAOAAAAAAAAAAAAAAAAAC4C&#10;AABkcnMvZTJvRG9jLnhtbFBLAQItABQABgAIAAAAIQB1pbLK3AAAAAYBAAAPAAAAAAAAAAAAAAAA&#10;AI0EAABkcnMvZG93bnJldi54bWxQSwUGAAAAAAQABADzAAAAlgUAAAAA&#10;"/>
        </w:pict>
      </w:r>
      <w:r w:rsidRPr="009553EB">
        <w:rPr>
          <w:rFonts w:ascii="Times New Roman" w:hAnsi="Times New Roman" w:cs="Times New Roman"/>
          <w:iCs/>
          <w:noProof/>
          <w:color w:val="000000" w:themeColor="text1"/>
          <w:sz w:val="24"/>
          <w:szCs w:val="24"/>
          <w:vertAlign w:val="superscript"/>
        </w:rPr>
        <w:t>1</w:t>
      </w:r>
      <w:r w:rsidR="00973A2E">
        <w:rPr>
          <w:rFonts w:ascii="Times New Roman" w:eastAsia="Times New Roman" w:hAnsi="Times New Roman" w:cs="Times New Roman"/>
          <w:sz w:val="24"/>
          <w:szCs w:val="24"/>
        </w:rPr>
        <w:t>, Asma Jabin</w:t>
      </w:r>
      <w:r w:rsidR="00973A2E">
        <w:rPr>
          <w:rFonts w:ascii="Times New Roman" w:eastAsia="Times New Roman" w:hAnsi="Times New Roman" w:cs="Times New Roman"/>
          <w:sz w:val="24"/>
          <w:szCs w:val="24"/>
          <w:vertAlign w:val="superscript"/>
        </w:rPr>
        <w:t>1</w:t>
      </w:r>
    </w:p>
    <w:p w:rsidR="00C83F87" w:rsidRDefault="00C83F87" w:rsidP="00592808">
      <w:pPr>
        <w:spacing w:line="276" w:lineRule="auto"/>
        <w:jc w:val="both"/>
        <w:rPr>
          <w:rFonts w:ascii="Times New Roman" w:hAnsi="Times New Roman" w:cs="Times New Roman"/>
          <w:sz w:val="24"/>
          <w:szCs w:val="24"/>
        </w:rPr>
      </w:pPr>
      <w:r w:rsidRPr="009553EB">
        <w:rPr>
          <w:rFonts w:ascii="Times New Roman" w:hAnsi="Times New Roman" w:cs="Times New Roman"/>
          <w:b/>
          <w:i/>
          <w:iCs/>
          <w:sz w:val="24"/>
          <w:szCs w:val="24"/>
        </w:rPr>
        <w:t xml:space="preserve">ABSTRACT: </w:t>
      </w:r>
      <w:r w:rsidRPr="00E57FE4">
        <w:rPr>
          <w:rFonts w:ascii="Times New Roman" w:hAnsi="Times New Roman" w:cs="Times New Roman"/>
          <w:sz w:val="24"/>
          <w:szCs w:val="24"/>
        </w:rPr>
        <w:t>Supernumerary teeth are the most common developmental dental anomalies in the maxillary anterior region causing interference to the developing permanent incisors resulting in oral problems such as malocclusion, food impaction, poor aesthetics, and cyst formation. Mesiodentes occur in 0.15% to 1.9% of the population. Mesiodens may</w:t>
      </w:r>
      <w:r>
        <w:rPr>
          <w:rFonts w:ascii="Times New Roman" w:hAnsi="Times New Roman" w:cs="Times New Roman"/>
          <w:sz w:val="24"/>
          <w:szCs w:val="24"/>
        </w:rPr>
        <w:t>be</w:t>
      </w:r>
      <w:r w:rsidRPr="00E57FE4">
        <w:rPr>
          <w:rFonts w:ascii="Times New Roman" w:hAnsi="Times New Roman" w:cs="Times New Roman"/>
          <w:sz w:val="24"/>
          <w:szCs w:val="24"/>
        </w:rPr>
        <w:t xml:space="preserve"> present as a part of the symptoms of syndromes; however, this condition might be seen in normal individuals as well. Given this high frequency, the general dentist should be well informed about the signs and symptoms of mesiodentes and appropriate treatment. </w:t>
      </w:r>
      <w:r w:rsidRPr="003750BF">
        <w:rPr>
          <w:rFonts w:ascii="Times New Roman" w:hAnsi="Times New Roman" w:cs="Times New Roman"/>
          <w:sz w:val="24"/>
          <w:szCs w:val="24"/>
        </w:rPr>
        <w:t>Extraction of mesiodens in the early mixed dentition helps spontaneous alignment of the adjacent teeth; however, symptomless cases could be left unt</w:t>
      </w:r>
      <w:r>
        <w:rPr>
          <w:rFonts w:ascii="Times New Roman" w:hAnsi="Times New Roman" w:cs="Times New Roman"/>
          <w:sz w:val="24"/>
          <w:szCs w:val="24"/>
        </w:rPr>
        <w:t xml:space="preserve">reated along with regular check </w:t>
      </w:r>
      <w:r w:rsidRPr="003750BF">
        <w:rPr>
          <w:rFonts w:ascii="Times New Roman" w:hAnsi="Times New Roman" w:cs="Times New Roman"/>
          <w:sz w:val="24"/>
          <w:szCs w:val="24"/>
        </w:rPr>
        <w:t>up</w:t>
      </w:r>
      <w:r>
        <w:rPr>
          <w:rFonts w:ascii="Times New Roman" w:hAnsi="Times New Roman" w:cs="Times New Roman"/>
          <w:sz w:val="24"/>
          <w:szCs w:val="24"/>
        </w:rPr>
        <w:t>. This article presents a case series of mesio dens and their treatment considerations.</w:t>
      </w:r>
    </w:p>
    <w:p w:rsidR="00C83F87" w:rsidRDefault="008C36A6" w:rsidP="00592808">
      <w:pPr>
        <w:spacing w:line="276" w:lineRule="auto"/>
        <w:jc w:val="both"/>
        <w:rPr>
          <w:rFonts w:ascii="Times New Roman" w:hAnsi="Times New Roman" w:cs="Times New Roman"/>
          <w:b/>
          <w:color w:val="000000" w:themeColor="text1"/>
          <w:sz w:val="24"/>
          <w:szCs w:val="24"/>
        </w:rPr>
      </w:pPr>
      <w:r w:rsidRPr="008C36A6">
        <w:rPr>
          <w:rFonts w:ascii="Times New Roman" w:hAnsi="Times New Roman" w:cs="Times New Roman"/>
          <w:b/>
          <w:noProof/>
          <w:color w:val="000000" w:themeColor="text1"/>
          <w:sz w:val="24"/>
          <w:szCs w:val="24"/>
          <w:lang w:eastAsia="en-IN"/>
        </w:rPr>
        <w:pict>
          <v:shape id="Straight Arrow Connector 7" o:spid="_x0000_s1033" type="#_x0000_t32" style="position:absolute;left:0;text-align:left;margin-left:1pt;margin-top:15.2pt;width:464.5pt;height:3.6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YzLwIAAFgEAAAOAAAAZHJzL2Uyb0RvYy54bWysVE1v2zAMvQ/YfxB0Tx1nTpMYdYrCTnbZ&#10;R4F2uyuSHAuTRUFS4wTD/vsoxc3a7TIM80GmTPHxkXzyze2x1+QgnVdgKppfTSmRhoNQZl/RL4/b&#10;yZISH5gRTIORFT1JT2/Xb9/cDLaUM+hAC+kIghhfDraiXQi2zDLPO9kzfwVWGnS24HoWcOv2mXBs&#10;QPReZ7Pp9DobwAnrgEvv8WtzdtJ1wm9bycPntvUyEF1R5BbS6tK6i2u2vmHl3jHbKT7SYP/AomfK&#10;YNILVMMCI09O/QHVK+7AQxuuOPQZtK3iMtWA1eTT36p56JiVqRZsjreXNvn/B8s/He4dUaKiC0oM&#10;63FED8Exte8CuXMOBlKDMdhGcGQRuzVYX2JQbe5drJcfzYP9APybJwbqjpm9TKwfTxah8hiRvQqJ&#10;G28x5274CALPsKcAqXXH1vWk1cp+jYERHNtDjmlWp8us5DEQjh/ny9Uqn+NIOfqK+SJfpVysjDAx&#10;2Dof3kvoSTQq6seqLuWcU7DDBx8iyV8BMdjAVmmdxKENGSq6ms/miZMHrUR0xmPe7Xe1duTAorzS&#10;M7J4dczBkxEJrJNMbEY7MKXPNibXJuJhcUhntM76+b6arjbLzbKYFLPrzaSYNs3kblsXk+ttvpg3&#10;75q6bvIfkVpelJ0SQprI7lnLefF3Whlv1VmFFzVf2pC9Rk/9QrLP70Q6zTmO9iySHYjTvXueP8o3&#10;HR6vWrwfL/dov/whrH8CAAD//wMAUEsDBBQABgAIAAAAIQCC46293QAAAAcBAAAPAAAAZHJzL2Rv&#10;d25yZXYueG1sTI/NTsMwEITvSLyDtZW4Uac/Sts0ToWQQBxQpBa4u/E2SRuvQ+wm6duznOA4M6uZ&#10;b9PdaBvRY+drRwpm0wgEUuFMTaWCz4+XxzUIHzQZ3ThCBTf0sMvu71KdGDfQHvtDKAWXkE+0giqE&#10;NpHSFxVa7aeuReLs5DqrA8uulKbTA5fbRs6jKJZW18QLlW7xucLicrhaBd+0un0tZb8+53mIX9/e&#10;S8J8UOphMj5tQQQcw98x/OIzOmTMdHRXMl40Cub8SVCwiJYgON4sZmwc2VjFILNU/ufPfgAAAP//&#10;AwBQSwECLQAUAAYACAAAACEAtoM4kv4AAADhAQAAEwAAAAAAAAAAAAAAAAAAAAAAW0NvbnRlbnRf&#10;VHlwZXNdLnhtbFBLAQItABQABgAIAAAAIQA4/SH/1gAAAJQBAAALAAAAAAAAAAAAAAAAAC8BAABf&#10;cmVscy8ucmVsc1BLAQItABQABgAIAAAAIQAX2JYzLwIAAFgEAAAOAAAAAAAAAAAAAAAAAC4CAABk&#10;cnMvZTJvRG9jLnhtbFBLAQItABQABgAIAAAAIQCC46293QAAAAcBAAAPAAAAAAAAAAAAAAAAAIkE&#10;AABkcnMvZG93bnJldi54bWxQSwUGAAAAAAQABADzAAAAkwUAAAAA&#10;"/>
        </w:pict>
      </w:r>
      <w:r w:rsidR="00C83F87" w:rsidRPr="009553EB">
        <w:rPr>
          <w:rFonts w:ascii="Times New Roman" w:hAnsi="Times New Roman" w:cs="Times New Roman"/>
          <w:b/>
          <w:color w:val="000000" w:themeColor="text1"/>
          <w:sz w:val="24"/>
          <w:szCs w:val="24"/>
        </w:rPr>
        <w:t xml:space="preserve">Keywords: </w:t>
      </w:r>
      <w:r w:rsidR="00C83F87">
        <w:rPr>
          <w:rFonts w:ascii="Times New Roman" w:hAnsi="Times New Roman" w:cs="Times New Roman"/>
          <w:b/>
          <w:color w:val="000000" w:themeColor="text1"/>
          <w:sz w:val="24"/>
          <w:szCs w:val="24"/>
        </w:rPr>
        <w:t xml:space="preserve">Supernumerary teeth, mesiodense, management </w:t>
      </w:r>
    </w:p>
    <w:p w:rsidR="00592808" w:rsidRDefault="00592808" w:rsidP="00592808">
      <w:pPr>
        <w:tabs>
          <w:tab w:val="left" w:pos="3331"/>
        </w:tabs>
        <w:spacing w:line="276" w:lineRule="auto"/>
        <w:jc w:val="both"/>
        <w:rPr>
          <w:rFonts w:ascii="Times New Roman" w:hAnsi="Times New Roman" w:cs="Times New Roman"/>
          <w:b/>
          <w:color w:val="000000" w:themeColor="text1"/>
          <w:sz w:val="24"/>
          <w:szCs w:val="24"/>
        </w:rPr>
        <w:sectPr w:rsidR="00592808">
          <w:pgSz w:w="12240" w:h="15840"/>
          <w:pgMar w:top="1440" w:right="1440" w:bottom="1440" w:left="1440" w:header="720" w:footer="720" w:gutter="0"/>
          <w:cols w:space="720"/>
          <w:docGrid w:linePitch="360"/>
        </w:sectPr>
      </w:pPr>
    </w:p>
    <w:p w:rsidR="00592808" w:rsidRPr="009553EB" w:rsidRDefault="00592808" w:rsidP="00592808">
      <w:pPr>
        <w:tabs>
          <w:tab w:val="left" w:pos="3331"/>
        </w:tabs>
        <w:spacing w:line="276" w:lineRule="auto"/>
        <w:jc w:val="both"/>
        <w:rPr>
          <w:rFonts w:ascii="Times New Roman" w:hAnsi="Times New Roman" w:cs="Times New Roman"/>
          <w:b/>
          <w:color w:val="000000" w:themeColor="text1"/>
          <w:sz w:val="24"/>
          <w:szCs w:val="24"/>
        </w:rPr>
      </w:pPr>
      <w:r w:rsidRPr="009553EB">
        <w:rPr>
          <w:rFonts w:ascii="Times New Roman" w:hAnsi="Times New Roman" w:cs="Times New Roman"/>
          <w:b/>
          <w:color w:val="000000" w:themeColor="text1"/>
          <w:sz w:val="24"/>
          <w:szCs w:val="24"/>
        </w:rPr>
        <w:lastRenderedPageBreak/>
        <w:t>INTRODUCTION</w:t>
      </w:r>
      <w:r w:rsidRPr="009553EB">
        <w:rPr>
          <w:rFonts w:ascii="Times New Roman" w:hAnsi="Times New Roman" w:cs="Times New Roman"/>
          <w:b/>
          <w:color w:val="000000" w:themeColor="text1"/>
          <w:sz w:val="24"/>
          <w:szCs w:val="24"/>
        </w:rPr>
        <w:tab/>
      </w:r>
    </w:p>
    <w:p w:rsidR="00592808" w:rsidRPr="009553EB" w:rsidRDefault="00592808" w:rsidP="00592808">
      <w:pPr>
        <w:autoSpaceDE w:val="0"/>
        <w:autoSpaceDN w:val="0"/>
        <w:adjustRightInd w:val="0"/>
        <w:spacing w:after="0"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Supernumerary teeth are defined as extra teeth compared to the normal dental series. They can be found in almost any region of the dental arch. Supernumerary teeth have more male predilection (ratio- 2:1). The prevalence of supernumerary teeth is 0.3%–0.8% in the deciduous dentition and 1.5%–3.5% in the permanent dentition. Mesiodens, the most commonly present supernumerary tooth is located in the maxillary central incisor</w:t>
      </w:r>
    </w:p>
    <w:p w:rsidR="00592808" w:rsidRDefault="008C36A6" w:rsidP="00592808">
      <w:pPr>
        <w:suppressLineNumbers/>
        <w:spacing w:line="276" w:lineRule="auto"/>
        <w:jc w:val="both"/>
        <w:rPr>
          <w:rFonts w:ascii="Times New Roman" w:eastAsia="Times New Roman" w:hAnsi="Times New Roman" w:cs="Times New Roman"/>
          <w:i/>
          <w:sz w:val="24"/>
          <w:szCs w:val="24"/>
        </w:rPr>
      </w:pPr>
      <w:r w:rsidRPr="008C36A6">
        <w:rPr>
          <w:rFonts w:ascii="Times New Roman" w:eastAsia="Times New Roman" w:hAnsi="Times New Roman" w:cs="Times New Roman"/>
          <w:i/>
          <w:noProof/>
          <w:sz w:val="24"/>
          <w:szCs w:val="24"/>
          <w:lang w:eastAsia="en-IN"/>
        </w:rPr>
        <w:pict>
          <v:line id="Straight Connector 32" o:spid="_x0000_s1031" style="position:absolute;left:0;text-align:left;flip:y;z-index:251658752;visibility:visible" from="1.5pt,6.6pt" to="21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Ty6AEAABwEAAAOAAAAZHJzL2Uyb0RvYy54bWysU8GO0zAQvSPxD5bvNGmq7kLUdA9dLRcE&#10;Fbtw9zrjxpLjsWzTpH/P2GnTZeEC4mLZnnlv5j2PN3djb9gRfNBoG75clJyBldhqe2j4t6eHd+85&#10;C1HYVhi00PATBH63fftmM7gaKuzQtOAZkdhQD67hXYyuLoogO+hFWKADS0GFvheRjv5QtF4MxN6b&#10;oirLm2JA3zqPEkKg2/spyLeZXymQ8YtSASIzDafeYl59Xp/TWmw3oj544Totz22If+iiF9pS0Znq&#10;XkTBfnj9G1WvpceAKi4k9gUqpSVkDaRmWb5S89gJB1kLmRPcbFP4f7Ty83HvmW4bvqo4s6KnN3qM&#10;XuhDF9kOrSUH0TMKklODCzUBdnbvz6fg9j7JHpXvmTLafachyEaQNDZmn0+zzzBGJumyurldrdb0&#10;HJJiy+q2zO9QTDSJzvkQPwL2LG0abrRNNohaHD+FSKUp9ZKSro1lQ8M/rKt1zgpodPugjUmxPEmw&#10;M54dBc1AHJdJCRG8yKKTsXSZ9E2K8i6eDEz0X0GRR9T5pO0Vp5ASbLzwGkvZCaaogxlYTp2lsb42&#10;8yvwnJ+gkCf3b8AzIldGG2dwry36P1W/WqGm/IsDk+5kwTO2p/zW2Roawezc+bukGX95zvDrp97+&#10;BAAA//8DAFBLAwQUAAYACAAAACEAxwQ9UtwAAAAHAQAADwAAAGRycy9kb3ducmV2LnhtbEyPwU7D&#10;MAyG70i8Q2QkbiwlbDB1TaeC2GmAtoF2zhrTVDRO1WRbeXvMCY7+fuv352I5+k6ccIhtIA23kwwE&#10;Uh1sS42Gj/fVzRxETIas6QKhhm+MsCwvLwqT23CmLZ52qRFcQjE3GlxKfS5lrB16EyehR+LsMwze&#10;JB6HRtrBnLncd1Jl2b30piW+4EyPTw7rr93RaxjXfqNW66raytfNW9o/zp/d7EXr66uxWoBIOKa/&#10;ZfjVZ3Uo2ekQjmSj6DTc8SeJ8UyB4HiqpgwODB4UyLKQ//3LHwAAAP//AwBQSwECLQAUAAYACAAA&#10;ACEAtoM4kv4AAADhAQAAEwAAAAAAAAAAAAAAAAAAAAAAW0NvbnRlbnRfVHlwZXNdLnhtbFBLAQIt&#10;ABQABgAIAAAAIQA4/SH/1gAAAJQBAAALAAAAAAAAAAAAAAAAAC8BAABfcmVscy8ucmVsc1BLAQIt&#10;ABQABgAIAAAAIQBC0tTy6AEAABwEAAAOAAAAAAAAAAAAAAAAAC4CAABkcnMvZTJvRG9jLnhtbFBL&#10;AQItABQABgAIAAAAIQDHBD1S3AAAAAcBAAAPAAAAAAAAAAAAAAAAAEIEAABkcnMvZG93bnJldi54&#10;bWxQSwUGAAAAAAQABADzAAAASwUAAAAA&#10;" strokecolor="black [3213]">
            <v:stroke joinstyle="miter"/>
          </v:line>
        </w:pict>
      </w:r>
    </w:p>
    <w:p w:rsidR="00592808" w:rsidRPr="009553EB" w:rsidRDefault="00592808" w:rsidP="00592808">
      <w:pPr>
        <w:suppressLineNumbers/>
        <w:spacing w:line="276" w:lineRule="auto"/>
        <w:jc w:val="both"/>
        <w:rPr>
          <w:rFonts w:ascii="Times New Roman" w:eastAsia="Times New Roman" w:hAnsi="Times New Roman" w:cs="Times New Roman"/>
          <w:i/>
          <w:sz w:val="24"/>
          <w:szCs w:val="24"/>
        </w:rPr>
      </w:pPr>
      <w:r w:rsidRPr="009553EB">
        <w:rPr>
          <w:rFonts w:ascii="Times New Roman" w:eastAsia="Times New Roman" w:hAnsi="Times New Roman" w:cs="Times New Roman"/>
          <w:i/>
          <w:sz w:val="24"/>
          <w:szCs w:val="24"/>
        </w:rPr>
        <w:t>1.Post Graduate Student.</w:t>
      </w:r>
    </w:p>
    <w:p w:rsidR="00592808" w:rsidRPr="009553EB" w:rsidRDefault="00592808" w:rsidP="00592808">
      <w:pPr>
        <w:spacing w:line="276" w:lineRule="auto"/>
        <w:jc w:val="both"/>
        <w:rPr>
          <w:rFonts w:ascii="Times New Roman" w:eastAsia="Times New Roman" w:hAnsi="Times New Roman" w:cs="Times New Roman"/>
          <w:i/>
          <w:sz w:val="24"/>
          <w:szCs w:val="24"/>
        </w:rPr>
      </w:pPr>
      <w:r w:rsidRPr="009553EB">
        <w:rPr>
          <w:rFonts w:ascii="Times New Roman" w:eastAsia="Times New Roman" w:hAnsi="Times New Roman" w:cs="Times New Roman"/>
          <w:i/>
          <w:sz w:val="24"/>
          <w:szCs w:val="24"/>
        </w:rPr>
        <w:t>Department of Pedodontics and Preventive Dentistry</w:t>
      </w:r>
      <w:r w:rsidRPr="009553EB">
        <w:rPr>
          <w:rFonts w:ascii="Times New Roman" w:eastAsia="Times New Roman" w:hAnsi="Times New Roman" w:cs="Times New Roman"/>
          <w:sz w:val="24"/>
          <w:szCs w:val="24"/>
        </w:rPr>
        <w:t>.</w:t>
      </w:r>
    </w:p>
    <w:p w:rsidR="00E34665" w:rsidRDefault="008C36A6" w:rsidP="00592808">
      <w:pPr>
        <w:spacing w:line="276" w:lineRule="auto"/>
        <w:jc w:val="both"/>
        <w:rPr>
          <w:rFonts w:ascii="Times New Roman" w:eastAsia="Times New Roman" w:hAnsi="Times New Roman" w:cs="Times New Roman"/>
          <w:i/>
          <w:sz w:val="24"/>
          <w:szCs w:val="24"/>
        </w:rPr>
      </w:pPr>
      <w:r w:rsidRPr="008C36A6">
        <w:rPr>
          <w:rFonts w:ascii="Times New Roman" w:hAnsi="Times New Roman" w:cs="Times New Roman"/>
          <w:b/>
          <w:noProof/>
          <w:color w:val="000000" w:themeColor="text1"/>
          <w:sz w:val="24"/>
          <w:szCs w:val="24"/>
          <w:lang w:eastAsia="en-IN"/>
        </w:rPr>
        <w:pict>
          <v:shape id="Straight Arrow Connector 31" o:spid="_x0000_s1032" type="#_x0000_t32" style="position:absolute;left:0;text-align:left;margin-left:9.9pt;margin-top:81.8pt;width:208.4pt;height:.8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sMwIAAFoEAAAOAAAAZHJzL2Uyb0RvYy54bWysVNFu2yAUfZ+0f0C8p7ZT10utOlVlJ3vp&#10;tkrt9k4Ax2iYi4DGiab9+y4kzdbtZZrmBwzm3sM55158c7sfNdlJ5xWYhhYXOSXScBDKbBv6+Wk9&#10;W1DiAzOCaTCyoQfp6e3y7ZubydZyDgNoIR1BEOPryTZ0CMHWWeb5IEfmL8BKg5s9uJEFXLptJhyb&#10;EH3U2TzPq2wCJ6wDLr3Hr91xky4Tft9LHj71vZeB6IYit5BGl8ZNHLPlDau3jtlB8RMN9g8sRqYM&#10;HnqG6lhg5NmpP6BGxR146MMFhzGDvldcJg2opsh/U/M4MCuTFjTH27NN/v/B8o+7B0eUaOhlQYlh&#10;I9boMTimtkMgd87BRFowBn0ERzAE/ZqsrzGtNQ8uKuZ782jvgX/1xEA7MLOViffTwSJWyshepcSF&#10;t3jqZvoAAmPYc4Bk3r53I+m1sl9iYgRHg8g+VetwrpbcB8Lx47wqq2qBReW4V+RFlaqZsTrCxGTr&#10;fHgvYSRx0lB/knXWczyC7e59QFmY+JIQkw2sldapPbQhU0Ovr+ZXiZMHrUTcjGHebTetdmTHYoOl&#10;J3qEYK/CHDwbkcAGycTqNA9M6eMc47WJeCgO6Zxmxw76dp1frxarRTkr59VqVuZdN7tbt+WsWhfv&#10;rrrLrm274nukVpT1oISQJrJ76eai/LtuOd2rYx+e+/lsQ/YaPUlEsi/vRDrVOZb22CQbEIcHF92I&#10;JccGTsGnyxZvyK/rFPXzl7D8AQAA//8DAFBLAwQUAAYACAAAACEAO2OIJdsAAAAHAQAADwAAAGRy&#10;cy9kb3ducmV2LnhtbEyOQU+DQBSE7yb9D5vXxJtdaAglyNKYJhoPhsSq9y37BJR9S9kt0H/v86S3&#10;mcxk5iv2i+3FhKPvHCmINxEIpNqZjhoF72+PdxkIHzQZ3TtCBVf0sC9XN4XOjZvpFadjaASPkM+1&#10;gjaEIZfS1y1a7TduQOLs041WB7ZjI82oZx63vdxGUSqt7ogfWj3gocX6+3ixCs60u34kcsq+qiqk&#10;T88vDWE1K3W7Xh7uQQRcwl8ZfvEZHUpmOrkLGS969gweFCRxDILjJM5SECcW2x3IspD/+csfAAAA&#10;//8DAFBLAQItABQABgAIAAAAIQC2gziS/gAAAOEBAAATAAAAAAAAAAAAAAAAAAAAAABbQ29udGVu&#10;dF9UeXBlc10ueG1sUEsBAi0AFAAGAAgAAAAhADj9If/WAAAAlAEAAAsAAAAAAAAAAAAAAAAALwEA&#10;AF9yZWxzLy5yZWxzUEsBAi0AFAAGAAgAAAAhAPqr9ewzAgAAWgQAAA4AAAAAAAAAAAAAAAAALgIA&#10;AGRycy9lMm9Eb2MueG1sUEsBAi0AFAAGAAgAAAAhADtjiCXbAAAABwEAAA8AAAAAAAAAAAAAAAAA&#10;jQQAAGRycy9kb3ducmV2LnhtbFBLBQYAAAAABAAEAPMAAACVBQAAAAA=&#10;"/>
        </w:pict>
      </w:r>
      <w:r w:rsidR="00592808" w:rsidRPr="009553EB">
        <w:rPr>
          <w:rFonts w:ascii="Times New Roman" w:eastAsia="Times New Roman" w:hAnsi="Times New Roman" w:cs="Times New Roman"/>
          <w:b/>
          <w:sz w:val="24"/>
          <w:szCs w:val="24"/>
        </w:rPr>
        <w:t>*</w:t>
      </w:r>
      <w:r w:rsidR="00592808" w:rsidRPr="009553EB">
        <w:rPr>
          <w:rFonts w:ascii="Times New Roman" w:eastAsia="Times New Roman" w:hAnsi="Times New Roman" w:cs="Times New Roman"/>
          <w:b/>
          <w:i/>
          <w:sz w:val="24"/>
          <w:szCs w:val="24"/>
        </w:rPr>
        <w:t>Correspondence Address:</w:t>
      </w:r>
      <w:r w:rsidR="00592808">
        <w:rPr>
          <w:rFonts w:ascii="Times New Roman" w:eastAsia="Times New Roman" w:hAnsi="Times New Roman" w:cs="Times New Roman"/>
          <w:i/>
          <w:sz w:val="24"/>
          <w:szCs w:val="24"/>
        </w:rPr>
        <w:t xml:space="preserve">Dr. Pooja Tiwari </w:t>
      </w:r>
      <w:r w:rsidR="00592808" w:rsidRPr="009553EB">
        <w:rPr>
          <w:rFonts w:ascii="Times New Roman" w:eastAsia="Times New Roman" w:hAnsi="Times New Roman" w:cs="Times New Roman"/>
          <w:i/>
          <w:sz w:val="24"/>
          <w:szCs w:val="24"/>
        </w:rPr>
        <w:t>(P.G. Student) Kothiwal Dental College and  Research Centre, Mora Mustaqeem Moradabad.</w:t>
      </w:r>
      <w:r w:rsidR="00E34665" w:rsidRPr="00E34665">
        <w:rPr>
          <w:rFonts w:ascii="Times New Roman" w:eastAsia="Times New Roman" w:hAnsi="Times New Roman" w:cs="Times New Roman"/>
          <w:i/>
          <w:sz w:val="24"/>
          <w:szCs w:val="24"/>
        </w:rPr>
        <w:t xml:space="preserve"> </w:t>
      </w:r>
      <w:r w:rsidR="00E34665" w:rsidRPr="009553EB">
        <w:rPr>
          <w:rFonts w:ascii="Times New Roman" w:eastAsia="Times New Roman" w:hAnsi="Times New Roman" w:cs="Times New Roman"/>
          <w:i/>
          <w:sz w:val="24"/>
          <w:szCs w:val="24"/>
        </w:rPr>
        <w:t>Email:</w:t>
      </w:r>
      <w:r w:rsidR="00E34665">
        <w:rPr>
          <w:rFonts w:ascii="Times New Roman" w:eastAsia="Times New Roman" w:hAnsi="Times New Roman" w:cs="Times New Roman"/>
          <w:i/>
          <w:sz w:val="24"/>
          <w:szCs w:val="24"/>
        </w:rPr>
        <w:t>drpooja.312</w:t>
      </w:r>
      <w:r w:rsidR="00E34665" w:rsidRPr="009553EB">
        <w:rPr>
          <w:rFonts w:ascii="Times New Roman" w:eastAsia="Times New Roman" w:hAnsi="Times New Roman" w:cs="Times New Roman"/>
          <w:i/>
          <w:sz w:val="24"/>
          <w:szCs w:val="24"/>
        </w:rPr>
        <w:t>@gmail.com</w:t>
      </w:r>
      <w:r w:rsidR="00E34665">
        <w:rPr>
          <w:rFonts w:ascii="Times New Roman" w:hAnsi="Times New Roman" w:cs="Times New Roman"/>
          <w:sz w:val="24"/>
          <w:szCs w:val="24"/>
        </w:rPr>
        <w:t>region.</w:t>
      </w:r>
    </w:p>
    <w:p w:rsidR="00592808" w:rsidRPr="00C83F87" w:rsidRDefault="00592808" w:rsidP="00592808">
      <w:pPr>
        <w:spacing w:line="276" w:lineRule="auto"/>
        <w:jc w:val="both"/>
        <w:rPr>
          <w:rFonts w:ascii="Times New Roman" w:eastAsia="Times New Roman" w:hAnsi="Times New Roman" w:cs="Times New Roman"/>
          <w:i/>
          <w:sz w:val="24"/>
          <w:szCs w:val="24"/>
        </w:rPr>
      </w:pPr>
      <w:r>
        <w:rPr>
          <w:rFonts w:ascii="Times New Roman" w:hAnsi="Times New Roman" w:cs="Times New Roman"/>
          <w:sz w:val="24"/>
          <w:szCs w:val="24"/>
        </w:rPr>
        <w:lastRenderedPageBreak/>
        <w:t xml:space="preserve">Mesiodens can occur individually or as multiples (mesiodentes), may appear unilaterally or bilaterally, and often do not erupt. </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Mesiodentes can signiﬁcantly alter both occlusion and appearance by altering the eruption path and the position of the permanent incisors. Hence early detection and treatment assumes paramount importance.</w:t>
      </w:r>
    </w:p>
    <w:p w:rsidR="00592808" w:rsidRDefault="0004411F"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manuscript discusses five </w:t>
      </w:r>
      <w:r w:rsidR="00592808">
        <w:rPr>
          <w:rFonts w:ascii="Times New Roman" w:hAnsi="Times New Roman" w:cs="Times New Roman"/>
          <w:sz w:val="24"/>
          <w:szCs w:val="24"/>
        </w:rPr>
        <w:t xml:space="preserve">cases of mesiodens with their treatment plans. </w:t>
      </w:r>
    </w:p>
    <w:p w:rsidR="00592808" w:rsidRPr="009553EB" w:rsidRDefault="008C36A6" w:rsidP="00592808">
      <w:pPr>
        <w:autoSpaceDE w:val="0"/>
        <w:autoSpaceDN w:val="0"/>
        <w:adjustRightInd w:val="0"/>
        <w:spacing w:after="0" w:line="276" w:lineRule="auto"/>
        <w:jc w:val="both"/>
        <w:rPr>
          <w:rFonts w:ascii="Times New Roman" w:eastAsia="Times New Roman" w:hAnsi="Times New Roman" w:cs="Times New Roman"/>
          <w:i/>
          <w:sz w:val="24"/>
          <w:szCs w:val="24"/>
        </w:rPr>
      </w:pPr>
      <w:r w:rsidRPr="008C36A6">
        <w:rPr>
          <w:rFonts w:ascii="Times New Roman" w:hAnsi="Times New Roman" w:cs="Times New Roman"/>
          <w:noProof/>
          <w:color w:val="000000" w:themeColor="text1"/>
          <w:sz w:val="24"/>
          <w:szCs w:val="24"/>
          <w:lang w:eastAsia="en-IN"/>
        </w:rPr>
        <w:pict>
          <v:shape id="Straight Arrow Connector 30" o:spid="_x0000_s1030" type="#_x0000_t32" style="position:absolute;left:0;text-align:left;margin-left:.9pt;margin-top:5.15pt;width:208.4pt;height:.8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ynMAIAAFoEAAAOAAAAZHJzL2Uyb0RvYy54bWysVMFu2zAMvQ/YPwi+p7ZTJ02MOkVhJ7t0&#10;W4B2uyuSHAuTRUFS4wTD/n2U4mbtdhmG+SBTFvn4SD759u7YK3IQ1knQVZJfZQkRmgGXel8lX542&#10;k0VCnKeaUwVaVMlJuORu9f7d7WBKMYUOFBeWIIh25WCqpPPelGnqWCd66q7ACI2HLdieetzafcot&#10;HRC9V+k0y+bpAJYbC0w4h1+b82GyivhtK5j/3LZOeKKqBLn5uNq47sKarm5pubfUdJKNNOg/sOip&#10;1Jj0AtVQT8mzlX9A9ZJZcND6KwZ9Cm0rmYg1YDV59ls1jx01ItaCzXHm0ib3/2DZp8PWEsmr5Brb&#10;o2mPM3r0lsp958m9tTCQGrTGPoIl6IL9GowrMazWWxsqZkf9aB6AfXNEQ91RvReR99PJIFYeItI3&#10;IWHjDGbdDR+Bow999hCbd2xtT1olzdcQGMCxQeQYp3W6TEscPWH4cTov5vMFsmZ4lmc3y1nMRcsA&#10;E4KNdf6DgJ4Eo0rcWNalnnMKenhwPpD8FRCCNWykUlEeSpOhSpaz6SxycqAkD4fBzdn9rlaWHGgQ&#10;WHxGFm/cLDxrHsE6Qfl6tD2V6mxjcqUDHhaHdEbrrKDvy2y5XqwXxaSYzteTImuayf2mLibzTX4z&#10;a66bum7yH4FaXpSd5FzowO5FzXnxd2oZ79VZhxc9X9qQvkWP/UKyL+9IOs45jPYskh3w09a+zB8F&#10;HJ3HyxZuyOs92q9/CaufAAAA//8DAFBLAwQUAAYACAAAACEAiNfNRdsAAAAHAQAADwAAAGRycy9k&#10;b3ducmV2LnhtbEyOwU7DMBBE75X4B2uRuLV2SxWiEKdCSK04oEgUuLvxkgTidYjdJP17lhOcRjOz&#10;mn35bnadGHEIrScN65UCgVR521Kt4e11v0xBhGjIms4TarhggF1xtchNZv1ELzgeYy14hEJmNDQx&#10;9pmUoWrQmbDyPRJ3H35wJrIdamkHM/G46+RGqUQ60xJ/aEyPjw1WX8ez0/BNd5f3rRzTz7KMyeHp&#10;uSYsJ61vrueHexAR5/h3DL/4jA4FM538mWwQHXsGjyzqFgTX23WagDhxsFEgi1z+5y9+AAAA//8D&#10;AFBLAQItABQABgAIAAAAIQC2gziS/gAAAOEBAAATAAAAAAAAAAAAAAAAAAAAAABbQ29udGVudF9U&#10;eXBlc10ueG1sUEsBAi0AFAAGAAgAAAAhADj9If/WAAAAlAEAAAsAAAAAAAAAAAAAAAAALwEAAF9y&#10;ZWxzLy5yZWxzUEsBAi0AFAAGAAgAAAAhAE7e/KcwAgAAWgQAAA4AAAAAAAAAAAAAAAAALgIAAGRy&#10;cy9lMm9Eb2MueG1sUEsBAi0AFAAGAAgAAAAhAIjXzUXbAAAABwEAAA8AAAAAAAAAAAAAAAAAigQA&#10;AGRycy9kb3ducmV2LnhtbFBLBQYAAAAABAAEAPMAAACSBQAAAAA=&#10;"/>
        </w:pict>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CASE 1</w:t>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 7 year old male patient reported to the Department of Pedodontics and Preventive Dentistry, Kothiwal Dental College and Research Centre, Moradabad; with the chief complaint of pain in right upper back region of jaw. The patient reported spontaneous and intermittent pain in the same region </w:t>
      </w:r>
      <w:r>
        <w:rPr>
          <w:rFonts w:ascii="Times New Roman" w:hAnsi="Times New Roman" w:cs="Times New Roman"/>
          <w:sz w:val="24"/>
          <w:szCs w:val="24"/>
        </w:rPr>
        <w:lastRenderedPageBreak/>
        <w:t xml:space="preserve">which subsided on its own. The medical and the dental history of patient were non contributory. Extraorally, no abnormality was detected. </w:t>
      </w:r>
    </w:p>
    <w:p w:rsidR="00592808" w:rsidRDefault="00592808" w:rsidP="00913EEC">
      <w:pPr>
        <w:pStyle w:val="ListParagraph"/>
        <w:spacing w:line="276" w:lineRule="auto"/>
        <w:ind w:left="0"/>
        <w:jc w:val="center"/>
        <w:rPr>
          <w:rFonts w:ascii="Times New Roman" w:hAnsi="Times New Roman" w:cs="Times New Roman"/>
          <w:sz w:val="24"/>
          <w:szCs w:val="24"/>
        </w:rPr>
      </w:pPr>
      <w:r w:rsidRPr="000B5428">
        <w:rPr>
          <w:rFonts w:ascii="Times New Roman" w:hAnsi="Times New Roman" w:cs="Times New Roman"/>
          <w:noProof/>
          <w:sz w:val="24"/>
          <w:szCs w:val="24"/>
          <w:lang w:val="en-US"/>
        </w:rPr>
        <w:drawing>
          <wp:inline distT="0" distB="0" distL="0" distR="0">
            <wp:extent cx="1202759" cy="690245"/>
            <wp:effectExtent l="76200" t="76200" r="130810" b="128905"/>
            <wp:docPr id="13" name="Picture 13" descr="C:\Users\Pooja Tiwari\Desktop\New folder\IMG_8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ja Tiwari\Desktop\New folder\IMG_805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3811" cy="719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B5428">
        <w:rPr>
          <w:rFonts w:ascii="Times New Roman" w:hAnsi="Times New Roman" w:cs="Times New Roman"/>
          <w:noProof/>
          <w:sz w:val="24"/>
          <w:szCs w:val="24"/>
          <w:lang w:val="en-US"/>
        </w:rPr>
        <w:drawing>
          <wp:inline distT="0" distB="0" distL="0" distR="0">
            <wp:extent cx="1001058" cy="804671"/>
            <wp:effectExtent l="76200" t="76200" r="142240" b="128905"/>
            <wp:docPr id="14" name="Picture 14" descr="C:\Users\Pooja Tiwari\Desktop\New folder\IMG_8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 Tiwari\Desktop\New folder\IMG_805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559" cy="834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Fig 1(a)                     Fig 1(b)</w:t>
      </w:r>
    </w:p>
    <w:p w:rsidR="00592808" w:rsidRDefault="00592808" w:rsidP="00913EEC">
      <w:pPr>
        <w:pStyle w:val="ListParagraph"/>
        <w:spacing w:line="276" w:lineRule="auto"/>
        <w:ind w:left="0"/>
        <w:jc w:val="center"/>
        <w:rPr>
          <w:rFonts w:ascii="Times New Roman" w:hAnsi="Times New Roman" w:cs="Times New Roman"/>
          <w:sz w:val="24"/>
          <w:szCs w:val="24"/>
        </w:rPr>
      </w:pPr>
    </w:p>
    <w:p w:rsidR="00592808" w:rsidRDefault="00592808" w:rsidP="00913EEC">
      <w:pPr>
        <w:pStyle w:val="ListParagraph"/>
        <w:spacing w:line="276" w:lineRule="auto"/>
        <w:ind w:left="0"/>
        <w:jc w:val="center"/>
        <w:rPr>
          <w:rFonts w:ascii="Times New Roman" w:hAnsi="Times New Roman" w:cs="Times New Roman"/>
          <w:sz w:val="24"/>
          <w:szCs w:val="24"/>
        </w:rPr>
      </w:pPr>
      <w:r w:rsidRPr="000B5428">
        <w:rPr>
          <w:rFonts w:ascii="Times New Roman" w:hAnsi="Times New Roman" w:cs="Times New Roman"/>
          <w:noProof/>
          <w:sz w:val="24"/>
          <w:szCs w:val="24"/>
          <w:lang w:val="en-US"/>
        </w:rPr>
        <w:drawing>
          <wp:inline distT="0" distB="0" distL="0" distR="0">
            <wp:extent cx="1028700" cy="687705"/>
            <wp:effectExtent l="76200" t="76200" r="133350" b="131445"/>
            <wp:docPr id="15" name="Picture 15" descr="C:\Users\Pooja Tiwari\Desktop\New folder\IMG_8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 Tiwari\Desktop\New folder\IMG_806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247" cy="71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B5428">
        <w:rPr>
          <w:noProof/>
          <w:lang w:val="en-US"/>
        </w:rPr>
        <w:drawing>
          <wp:inline distT="0" distB="0" distL="0" distR="0">
            <wp:extent cx="930303" cy="685800"/>
            <wp:effectExtent l="76200" t="76200" r="136525" b="133350"/>
            <wp:docPr id="16" name="Picture 16" descr="C:\Users\Pooja Tiwari\Desktop\New folder\IMG_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Tiwari\Desktop\New folder\IMG_806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6159" cy="712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Fig 1(c)                Fig (e)</w:t>
      </w:r>
    </w:p>
    <w:p w:rsidR="00592808" w:rsidRDefault="00592808" w:rsidP="00913EEC">
      <w:pPr>
        <w:pStyle w:val="ListParagraph"/>
        <w:spacing w:line="276" w:lineRule="auto"/>
        <w:ind w:left="0"/>
        <w:jc w:val="center"/>
        <w:rPr>
          <w:rFonts w:ascii="Times New Roman" w:hAnsi="Times New Roman" w:cs="Times New Roman"/>
          <w:sz w:val="24"/>
          <w:szCs w:val="24"/>
        </w:rPr>
      </w:pPr>
      <w:r w:rsidRPr="0064585B">
        <w:rPr>
          <w:noProof/>
          <w:lang w:val="en-US"/>
        </w:rPr>
        <w:drawing>
          <wp:inline distT="0" distB="0" distL="0" distR="0">
            <wp:extent cx="2640965" cy="1490775"/>
            <wp:effectExtent l="0" t="0" r="6985" b="0"/>
            <wp:docPr id="17" name="Picture 17" descr="C:\Users\Pooja Tiwari\Downloads\SHAREit\iPhone 7 Plus\photo\IMG_8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oja Tiwari\Downloads\SHAREit\iPhone 7 Plus\photo\IMG_806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965" cy="1490775"/>
                    </a:xfrm>
                    <a:prstGeom prst="rect">
                      <a:avLst/>
                    </a:prstGeom>
                    <a:noFill/>
                    <a:ln>
                      <a:noFill/>
                    </a:ln>
                  </pic:spPr>
                </pic:pic>
              </a:graphicData>
            </a:graphic>
          </wp:inline>
        </w:drawing>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Fig (d)</w:t>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The intraoral examination (Fig 1 a,b,c) revealed presence of conical tooth like structure in the maxillary anterior region and c</w:t>
      </w:r>
      <w:r w:rsidR="00962F06">
        <w:rPr>
          <w:rFonts w:ascii="Times New Roman" w:hAnsi="Times New Roman" w:cs="Times New Roman"/>
          <w:sz w:val="24"/>
          <w:szCs w:val="24"/>
        </w:rPr>
        <w:t xml:space="preserve">arious teeth irt 55, 64. On </w:t>
      </w:r>
      <w:r>
        <w:rPr>
          <w:rFonts w:ascii="Times New Roman" w:hAnsi="Times New Roman" w:cs="Times New Roman"/>
          <w:sz w:val="24"/>
          <w:szCs w:val="24"/>
        </w:rPr>
        <w:t>Radiographic exam</w:t>
      </w:r>
      <w:r w:rsidR="00962F06">
        <w:rPr>
          <w:rFonts w:ascii="Times New Roman" w:hAnsi="Times New Roman" w:cs="Times New Roman"/>
          <w:sz w:val="24"/>
          <w:szCs w:val="24"/>
        </w:rPr>
        <w:t>ination (Fig 1 d), it was found</w:t>
      </w:r>
      <w:r>
        <w:rPr>
          <w:rFonts w:ascii="Times New Roman" w:hAnsi="Times New Roman" w:cs="Times New Roman"/>
          <w:sz w:val="24"/>
          <w:szCs w:val="24"/>
        </w:rPr>
        <w:t xml:space="preserve"> that</w:t>
      </w:r>
      <w:r w:rsidR="00962F06">
        <w:rPr>
          <w:rFonts w:ascii="Times New Roman" w:hAnsi="Times New Roman" w:cs="Times New Roman"/>
          <w:sz w:val="24"/>
          <w:szCs w:val="24"/>
        </w:rPr>
        <w:t xml:space="preserve"> tooth like structure </w:t>
      </w:r>
      <w:r>
        <w:rPr>
          <w:rFonts w:ascii="Times New Roman" w:hAnsi="Times New Roman" w:cs="Times New Roman"/>
          <w:sz w:val="24"/>
          <w:szCs w:val="24"/>
        </w:rPr>
        <w:t xml:space="preserve">present between the </w:t>
      </w:r>
      <w:r w:rsidR="00962F06">
        <w:rPr>
          <w:rFonts w:ascii="Times New Roman" w:hAnsi="Times New Roman" w:cs="Times New Roman"/>
          <w:sz w:val="24"/>
          <w:szCs w:val="24"/>
        </w:rPr>
        <w:t xml:space="preserve">upper centrals was mesiodense and also, there was </w:t>
      </w:r>
      <w:r>
        <w:rPr>
          <w:rFonts w:ascii="Times New Roman" w:hAnsi="Times New Roman" w:cs="Times New Roman"/>
          <w:sz w:val="24"/>
          <w:szCs w:val="24"/>
        </w:rPr>
        <w:t>another supernumerary tooth present mesial to the eruptin</w:t>
      </w:r>
      <w:r w:rsidR="00962F06">
        <w:rPr>
          <w:rFonts w:ascii="Times New Roman" w:hAnsi="Times New Roman" w:cs="Times New Roman"/>
          <w:sz w:val="24"/>
          <w:szCs w:val="24"/>
        </w:rPr>
        <w:t>g left permanent canine which was</w:t>
      </w:r>
      <w:r>
        <w:rPr>
          <w:rFonts w:ascii="Times New Roman" w:hAnsi="Times New Roman" w:cs="Times New Roman"/>
          <w:sz w:val="24"/>
          <w:szCs w:val="24"/>
        </w:rPr>
        <w:t xml:space="preserve"> still in the developing stage. It was decided to extract the mesiodense (Fig 1 e,f) and leave the other supernumerary tooth because it did not cause any disturbance in the eruption of canine. The midline diastema is expected to </w:t>
      </w:r>
      <w:r>
        <w:rPr>
          <w:rFonts w:ascii="Times New Roman" w:hAnsi="Times New Roman" w:cs="Times New Roman"/>
          <w:sz w:val="24"/>
          <w:szCs w:val="24"/>
        </w:rPr>
        <w:lastRenderedPageBreak/>
        <w:t>close on its own with the eruption of canine.</w:t>
      </w:r>
      <w:r w:rsidR="00962F06">
        <w:rPr>
          <w:rFonts w:ascii="Times New Roman" w:hAnsi="Times New Roman" w:cs="Times New Roman"/>
          <w:sz w:val="24"/>
          <w:szCs w:val="24"/>
        </w:rPr>
        <w:t xml:space="preserve"> The case is kept on follow up. </w:t>
      </w:r>
    </w:p>
    <w:p w:rsidR="00592808" w:rsidRPr="0064585B"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Pr="0064585B">
        <w:rPr>
          <w:rFonts w:ascii="Times New Roman" w:hAnsi="Times New Roman" w:cs="Times New Roman"/>
          <w:sz w:val="24"/>
          <w:szCs w:val="24"/>
        </w:rPr>
        <w:t>ASE 2-</w:t>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 17 year old male patient reported to theDepartment of Pedodontics and Preventive Dentistry, Kothiwal Dental College and Research Centre, Moradabad; with the chief complaint of misalignment of teeth and gap present between the upper teeth in the front region. The medical and the dental history of the patient was non contributory. </w:t>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073132" cy="782665"/>
            <wp:effectExtent l="76200" t="76200" r="127635" b="132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haya 1.jp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8635" cy="808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rPr>
        <w:drawing>
          <wp:inline distT="0" distB="0" distL="0" distR="0">
            <wp:extent cx="1081008" cy="790575"/>
            <wp:effectExtent l="76200" t="76200" r="13843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haya 2 .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457" cy="807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Fig 2 (a)                    Fig 2 (b)</w:t>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616998" cy="755650"/>
            <wp:effectExtent l="76200" t="76200" r="135890" b="139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haya 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576" cy="79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Fig 2 (c)</w:t>
      </w:r>
    </w:p>
    <w:p w:rsidR="00592808" w:rsidRDefault="00592808" w:rsidP="00913EE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198126" cy="833814"/>
            <wp:effectExtent l="76200" t="76200" r="135890" b="137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404_110102.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3185" cy="844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rPr>
        <w:drawing>
          <wp:inline distT="0" distB="0" distL="0" distR="0">
            <wp:extent cx="973520" cy="857250"/>
            <wp:effectExtent l="76200" t="76200" r="13144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04_11022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987893" cy="869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Fig 2 (d)                     Fig 2(e)</w:t>
      </w:r>
    </w:p>
    <w:p w:rsidR="00592808" w:rsidRDefault="00592808"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intra oral examination (Fig 2 a,b,c) revealed crowding in the upper anterior region of jaw due to the presence of retained deciduous teeth in between 11 and 21. 12, 22 and conical tooth like structure were present palatally. Root stumps irt 53 and 63 was present. Radiographic examination revealed that the conical tooth like structure present palatally was supernumerary tooth </w:t>
      </w:r>
      <w:r>
        <w:rPr>
          <w:rFonts w:ascii="Times New Roman" w:hAnsi="Times New Roman" w:cs="Times New Roman"/>
          <w:sz w:val="24"/>
          <w:szCs w:val="24"/>
        </w:rPr>
        <w:lastRenderedPageBreak/>
        <w:t>and was diagnosed to be mesiodense. The extraction of the mesiodense along with the retained deciduous teeth was done (Fig 2 d,e) Orthodontic treatment was also planned to correct the alignment of the maxillary teeth.</w:t>
      </w:r>
    </w:p>
    <w:p w:rsidR="00962F06" w:rsidRDefault="00962F06" w:rsidP="0059280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The case is still on follow up.</w:t>
      </w:r>
    </w:p>
    <w:p w:rsidR="00962F06" w:rsidRDefault="00962F06" w:rsidP="00592808">
      <w:pPr>
        <w:pStyle w:val="ListParagraph"/>
        <w:spacing w:line="276" w:lineRule="auto"/>
        <w:ind w:left="0"/>
        <w:jc w:val="both"/>
        <w:rPr>
          <w:rFonts w:ascii="Times New Roman" w:hAnsi="Times New Roman" w:cs="Times New Roman"/>
          <w:sz w:val="24"/>
          <w:szCs w:val="24"/>
        </w:rPr>
      </w:pPr>
    </w:p>
    <w:p w:rsidR="00592808" w:rsidRPr="000A411D" w:rsidRDefault="00592808" w:rsidP="00592808">
      <w:pPr>
        <w:pStyle w:val="ListParagraph"/>
        <w:spacing w:line="276"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CASE 3- </w:t>
      </w:r>
    </w:p>
    <w:p w:rsidR="00592808" w:rsidRDefault="00592808" w:rsidP="00913EEC">
      <w:pPr>
        <w:spacing w:line="276" w:lineRule="auto"/>
        <w:jc w:val="both"/>
        <w:rPr>
          <w:rFonts w:ascii="Times New Roman" w:hAnsi="Times New Roman" w:cs="Times New Roman"/>
          <w:bCs/>
          <w:sz w:val="24"/>
          <w:szCs w:val="24"/>
          <w:lang w:val="en-US"/>
        </w:rPr>
      </w:pPr>
      <w:r w:rsidRPr="00E2161C">
        <w:rPr>
          <w:rFonts w:ascii="Times New Roman" w:hAnsi="Times New Roman" w:cs="Times New Roman"/>
          <w:sz w:val="24"/>
          <w:szCs w:val="24"/>
        </w:rPr>
        <w:t>A 14-year-old male patient reported to the Department of Pedodontics and Preventive Dentistry, Kothiwal Dental College and Research Centre, Moradabad with the chief complaint of  tooth present behind the upper front teeth. The medical and the dental history were non contributory. The intra oral examination</w:t>
      </w:r>
      <w:r>
        <w:rPr>
          <w:rFonts w:ascii="Times New Roman" w:hAnsi="Times New Roman" w:cs="Times New Roman"/>
          <w:sz w:val="24"/>
          <w:szCs w:val="24"/>
        </w:rPr>
        <w:t xml:space="preserve"> (Fig 3 a,b)</w:t>
      </w:r>
      <w:r w:rsidRPr="00E2161C">
        <w:rPr>
          <w:rFonts w:ascii="Times New Roman" w:hAnsi="Times New Roman" w:cs="Times New Roman"/>
          <w:sz w:val="24"/>
          <w:szCs w:val="24"/>
        </w:rPr>
        <w:t xml:space="preserve"> revealed p</w:t>
      </w:r>
      <w:r w:rsidRPr="00E2161C">
        <w:rPr>
          <w:rFonts w:ascii="Times New Roman" w:hAnsi="Times New Roman" w:cs="Times New Roman"/>
          <w:bCs/>
          <w:sz w:val="24"/>
          <w:szCs w:val="24"/>
          <w:lang w:val="en-US"/>
        </w:rPr>
        <w:t>alatally erupted supernumerary tooth irt 11,21 and mild crowding in both maxillary and mandible anterior region. The intraoral periapical radiograph</w:t>
      </w:r>
      <w:r>
        <w:rPr>
          <w:rFonts w:ascii="Times New Roman" w:hAnsi="Times New Roman" w:cs="Times New Roman"/>
          <w:bCs/>
          <w:sz w:val="24"/>
          <w:szCs w:val="24"/>
          <w:lang w:val="en-US"/>
        </w:rPr>
        <w:t xml:space="preserve"> (Fig 3 c)</w:t>
      </w:r>
      <w:r w:rsidRPr="00E2161C">
        <w:rPr>
          <w:rFonts w:ascii="Times New Roman" w:hAnsi="Times New Roman" w:cs="Times New Roman"/>
          <w:bCs/>
          <w:sz w:val="24"/>
          <w:szCs w:val="24"/>
          <w:lang w:val="en-US"/>
        </w:rPr>
        <w:t xml:space="preserve"> of the maxillary anterior region revealed palatally erupted mesiodense. The extraction of the mesiodense was done</w:t>
      </w:r>
      <w:r>
        <w:rPr>
          <w:rFonts w:ascii="Times New Roman" w:hAnsi="Times New Roman" w:cs="Times New Roman"/>
          <w:bCs/>
          <w:sz w:val="24"/>
          <w:szCs w:val="24"/>
          <w:lang w:val="en-US"/>
        </w:rPr>
        <w:t xml:space="preserve"> (Fig 3 d,e)</w:t>
      </w:r>
      <w:r w:rsidRPr="00E2161C">
        <w:rPr>
          <w:rFonts w:ascii="Times New Roman" w:hAnsi="Times New Roman" w:cs="Times New Roman"/>
          <w:bCs/>
          <w:sz w:val="24"/>
          <w:szCs w:val="24"/>
          <w:lang w:val="en-US"/>
        </w:rPr>
        <w:t xml:space="preserve"> and the patient was explained the orthodontic treatment as well. The pati</w:t>
      </w:r>
      <w:r>
        <w:rPr>
          <w:rFonts w:ascii="Times New Roman" w:hAnsi="Times New Roman" w:cs="Times New Roman"/>
          <w:bCs/>
          <w:sz w:val="24"/>
          <w:szCs w:val="24"/>
          <w:lang w:val="en-US"/>
        </w:rPr>
        <w:t>ent did not report for the orth</w:t>
      </w:r>
      <w:r w:rsidRPr="00E2161C">
        <w:rPr>
          <w:rFonts w:ascii="Times New Roman" w:hAnsi="Times New Roman" w:cs="Times New Roman"/>
          <w:bCs/>
          <w:sz w:val="24"/>
          <w:szCs w:val="24"/>
          <w:lang w:val="en-US"/>
        </w:rPr>
        <w:t>odontic treatment.</w:t>
      </w:r>
      <w:r w:rsidRPr="00FF4673">
        <w:rPr>
          <w:rFonts w:ascii="Times New Roman" w:hAnsi="Times New Roman" w:cs="Times New Roman"/>
          <w:noProof/>
          <w:sz w:val="24"/>
          <w:szCs w:val="24"/>
          <w:lang w:val="en-US"/>
        </w:rPr>
        <w:drawing>
          <wp:inline distT="0" distB="0" distL="0" distR="0">
            <wp:extent cx="1104265" cy="755280"/>
            <wp:effectExtent l="76200" t="76200" r="133985" b="140335"/>
            <wp:docPr id="28" name="Picture 2" descr="C:\Users\USER\Desktop\PRIYAM PATIENT PICS\sunena mesiodense\IMG_20160513_1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USER\Desktop\PRIYAM PATIENT PICS\sunena mesiodense\IMG_20160513_11263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78" t="25531" r="23334" b="38148"/>
                    <a:stretch>
                      <a:fillRect/>
                    </a:stretch>
                  </pic:blipFill>
                  <pic:spPr bwMode="auto">
                    <a:xfrm>
                      <a:off x="0" y="0"/>
                      <a:ext cx="1110632" cy="7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4673">
        <w:rPr>
          <w:rFonts w:ascii="Times New Roman" w:hAnsi="Times New Roman" w:cs="Times New Roman"/>
          <w:noProof/>
          <w:sz w:val="24"/>
          <w:szCs w:val="24"/>
          <w:lang w:val="en-US"/>
        </w:rPr>
        <w:drawing>
          <wp:inline distT="0" distB="0" distL="0" distR="0">
            <wp:extent cx="1050290" cy="743516"/>
            <wp:effectExtent l="76200" t="76200" r="130810" b="133350"/>
            <wp:docPr id="8" name="Picture 4" descr="C:\Users\USER\Desktop\PRIYAM PATIENT PICS\sunena mesiodense\IMG_20160429_12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USER\Desktop\PRIYAM PATIENT PICS\sunena mesiodense\IMG_20160429_12242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89" t="20370" r="37778" b="21852"/>
                    <a:stretch>
                      <a:fillRect/>
                    </a:stretch>
                  </pic:blipFill>
                  <pic:spPr bwMode="auto">
                    <a:xfrm rot="10800000">
                      <a:off x="0" y="0"/>
                      <a:ext cx="1053878" cy="746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spacing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Fig 3 (a)                    Fig 3 (b)</w:t>
      </w:r>
    </w:p>
    <w:p w:rsidR="00592808" w:rsidRDefault="00592808" w:rsidP="00913EEC">
      <w:pPr>
        <w:spacing w:line="276" w:lineRule="auto"/>
        <w:jc w:val="center"/>
        <w:rPr>
          <w:rFonts w:ascii="Times New Roman" w:hAnsi="Times New Roman" w:cs="Times New Roman"/>
          <w:bCs/>
          <w:sz w:val="24"/>
          <w:szCs w:val="24"/>
          <w:lang w:val="en-US"/>
        </w:rPr>
      </w:pPr>
      <w:r w:rsidRPr="00FF4673">
        <w:rPr>
          <w:rFonts w:ascii="Times New Roman" w:hAnsi="Times New Roman" w:cs="Times New Roman"/>
          <w:noProof/>
          <w:sz w:val="24"/>
          <w:szCs w:val="24"/>
          <w:lang w:val="en-US"/>
        </w:rPr>
        <w:lastRenderedPageBreak/>
        <w:drawing>
          <wp:inline distT="0" distB="0" distL="0" distR="0">
            <wp:extent cx="1019598" cy="1086301"/>
            <wp:effectExtent l="76200" t="76200" r="142875" b="133350"/>
            <wp:docPr id="12" name="Picture 2" descr="C:\Users\USER\Desktop\PRIYAM PATIENT PICS\sunena mesiodense\IMG_20160524_1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USER\Desktop\PRIYAM PATIENT PICS\sunena mesiodense\IMG_20160524_14304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0" t="8519" r="36666" b="7037"/>
                    <a:stretch>
                      <a:fillRect/>
                    </a:stretch>
                  </pic:blipFill>
                  <pic:spPr bwMode="auto">
                    <a:xfrm>
                      <a:off x="0" y="0"/>
                      <a:ext cx="1028648" cy="1095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F4673">
        <w:rPr>
          <w:rFonts w:ascii="Times New Roman" w:hAnsi="Times New Roman" w:cs="Times New Roman"/>
          <w:noProof/>
          <w:sz w:val="24"/>
          <w:szCs w:val="24"/>
          <w:lang w:val="en-US"/>
        </w:rPr>
        <w:drawing>
          <wp:inline distT="0" distB="0" distL="0" distR="0">
            <wp:extent cx="1111250" cy="833329"/>
            <wp:effectExtent l="76200" t="76200" r="127000" b="138430"/>
            <wp:docPr id="9" name="Picture 5" descr="C:\Users\USER\Desktop\PRIYAM PATIENT PICS\sunena mesiodense\IMG-201605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USER\Desktop\PRIYAM PATIENT PICS\sunena mesiodense\IMG-20160513-WA000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51" t="30916" r="21605" b="20989"/>
                    <a:stretch>
                      <a:fillRect/>
                    </a:stretch>
                  </pic:blipFill>
                  <pic:spPr bwMode="auto">
                    <a:xfrm rot="10800000">
                      <a:off x="0" y="0"/>
                      <a:ext cx="1127450" cy="845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spacing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Fig 3 (c)                       Fig 3(d)</w:t>
      </w:r>
    </w:p>
    <w:p w:rsidR="00592808" w:rsidRDefault="00592808" w:rsidP="00592808">
      <w:pPr>
        <w:spacing w:line="276" w:lineRule="auto"/>
        <w:jc w:val="both"/>
        <w:rPr>
          <w:rFonts w:ascii="Times New Roman" w:hAnsi="Times New Roman" w:cs="Times New Roman"/>
          <w:bCs/>
          <w:sz w:val="24"/>
          <w:szCs w:val="24"/>
          <w:lang w:val="en-US"/>
        </w:rPr>
      </w:pPr>
      <w:r w:rsidRPr="00FF4673">
        <w:rPr>
          <w:rFonts w:ascii="Times New Roman" w:hAnsi="Times New Roman" w:cs="Times New Roman"/>
          <w:noProof/>
          <w:sz w:val="24"/>
          <w:szCs w:val="24"/>
          <w:lang w:val="en-US"/>
        </w:rPr>
        <w:drawing>
          <wp:inline distT="0" distB="0" distL="0" distR="0">
            <wp:extent cx="876914" cy="937392"/>
            <wp:effectExtent l="83820" t="68580" r="140970" b="140970"/>
            <wp:docPr id="10" name="Picture 6" descr="C:\Users\USER\Desktop\PRIYAM PATIENT PICS\sunena mesiodense\IMG-201605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USER\Desktop\PRIYAM PATIENT PICS\sunena mesiodense\IMG-20160513-WA001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00" t="35000" r="22222" b="25833"/>
                    <a:stretch>
                      <a:fillRect/>
                    </a:stretch>
                  </pic:blipFill>
                  <pic:spPr bwMode="auto">
                    <a:xfrm rot="5400000">
                      <a:off x="0" y="0"/>
                      <a:ext cx="897478" cy="95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592808">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Fig 3(e)</w:t>
      </w:r>
    </w:p>
    <w:p w:rsidR="00592808" w:rsidRPr="004C5D39" w:rsidRDefault="00592808" w:rsidP="00592808">
      <w:pPr>
        <w:spacing w:line="276" w:lineRule="auto"/>
        <w:jc w:val="both"/>
        <w:rPr>
          <w:rFonts w:ascii="Times New Roman" w:hAnsi="Times New Roman" w:cs="Times New Roman"/>
          <w:bCs/>
          <w:sz w:val="24"/>
          <w:szCs w:val="24"/>
          <w:lang w:val="en-US"/>
        </w:rPr>
      </w:pPr>
      <w:r>
        <w:rPr>
          <w:rFonts w:ascii="Times New Roman" w:hAnsi="Times New Roman" w:cs="Times New Roman"/>
          <w:sz w:val="24"/>
          <w:szCs w:val="24"/>
        </w:rPr>
        <w:t>CASE 4:</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16 year </w:t>
      </w:r>
      <w:r w:rsidRPr="00E2161C">
        <w:rPr>
          <w:rFonts w:ascii="Times New Roman" w:hAnsi="Times New Roman" w:cs="Times New Roman"/>
          <w:sz w:val="24"/>
          <w:szCs w:val="24"/>
        </w:rPr>
        <w:t xml:space="preserve">old male patient reported to the Department of Pedodontics and Preventive Dentistry, Kothiwal Dental College and Research Centre, Moradabad with the chief complaint </w:t>
      </w:r>
      <w:r>
        <w:rPr>
          <w:rFonts w:ascii="Times New Roman" w:hAnsi="Times New Roman" w:cs="Times New Roman"/>
          <w:sz w:val="24"/>
          <w:szCs w:val="24"/>
        </w:rPr>
        <w:t xml:space="preserve">of  misalignment of teeth in the upper front region of jaw. The medical and dental history were non contributory. </w:t>
      </w:r>
    </w:p>
    <w:p w:rsidR="00592808" w:rsidRDefault="00592808" w:rsidP="00592808">
      <w:pPr>
        <w:spacing w:line="276" w:lineRule="auto"/>
        <w:jc w:val="both"/>
        <w:rPr>
          <w:rFonts w:ascii="Times New Roman" w:hAnsi="Times New Roman" w:cs="Times New Roman"/>
          <w:sz w:val="24"/>
          <w:szCs w:val="24"/>
        </w:rPr>
      </w:pPr>
      <w:r w:rsidRPr="002B7907">
        <w:rPr>
          <w:rFonts w:ascii="Times New Roman" w:hAnsi="Times New Roman" w:cs="Times New Roman"/>
          <w:noProof/>
          <w:sz w:val="24"/>
          <w:szCs w:val="24"/>
          <w:lang w:val="en-US"/>
        </w:rPr>
        <w:drawing>
          <wp:inline distT="0" distB="0" distL="0" distR="0">
            <wp:extent cx="1098550" cy="792735"/>
            <wp:effectExtent l="76200" t="76200" r="139700" b="140970"/>
            <wp:docPr id="1028" name="Picture 4" descr="C:\Users\PEDO\Desktop\abhishek\1. management of mesiodens\DSCN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EDO\Desktop\abhishek\1. management of mesiodens\DSCN503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145" cy="822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2B7907">
        <w:rPr>
          <w:rFonts w:ascii="Times New Roman" w:hAnsi="Times New Roman" w:cs="Times New Roman"/>
          <w:noProof/>
          <w:sz w:val="24"/>
          <w:szCs w:val="24"/>
          <w:lang w:val="en-US"/>
        </w:rPr>
        <w:drawing>
          <wp:inline distT="0" distB="0" distL="0" distR="0">
            <wp:extent cx="1079500" cy="807339"/>
            <wp:effectExtent l="76200" t="76200" r="139700" b="126365"/>
            <wp:docPr id="1029" name="Picture 5" descr="C:\Users\PEDO\Desktop\abhishek\1. management of mesiodens\DSCN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EDO\Desktop\abhishek\1. management of mesiodens\DSCN504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796" cy="812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Fig 4 (a)                   Fig 4 (b)    </w:t>
      </w:r>
    </w:p>
    <w:p w:rsidR="00592808" w:rsidRDefault="00592808" w:rsidP="00592808">
      <w:pPr>
        <w:spacing w:line="276" w:lineRule="auto"/>
        <w:jc w:val="both"/>
        <w:rPr>
          <w:rFonts w:ascii="Times New Roman" w:hAnsi="Times New Roman" w:cs="Times New Roman"/>
          <w:sz w:val="24"/>
          <w:szCs w:val="24"/>
        </w:rPr>
      </w:pPr>
      <w:r w:rsidRPr="002B7907">
        <w:rPr>
          <w:rFonts w:ascii="Times New Roman" w:hAnsi="Times New Roman" w:cs="Times New Roman"/>
          <w:noProof/>
          <w:sz w:val="24"/>
          <w:szCs w:val="24"/>
          <w:lang w:val="en-US"/>
        </w:rPr>
        <w:drawing>
          <wp:inline distT="0" distB="0" distL="0" distR="0">
            <wp:extent cx="1112381" cy="1163298"/>
            <wp:effectExtent l="76200" t="76200" r="126365" b="132715"/>
            <wp:docPr id="1027" name="Picture 3" descr="C:\Users\PEDO\Desktop\abhishek\1. management of mesiodens\DSCN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EDO\Desktop\abhishek\1. management of mesiodens\DSCN507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534" cy="1169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2B7907">
        <w:rPr>
          <w:rFonts w:ascii="Times New Roman" w:hAnsi="Times New Roman" w:cs="Times New Roman"/>
          <w:noProof/>
          <w:sz w:val="24"/>
          <w:szCs w:val="24"/>
          <w:lang w:val="en-US"/>
        </w:rPr>
        <w:drawing>
          <wp:inline distT="0" distB="0" distL="0" distR="0">
            <wp:extent cx="1022350" cy="1150364"/>
            <wp:effectExtent l="76200" t="76200" r="139700" b="126365"/>
            <wp:docPr id="1026" name="Picture 2" descr="C:\Users\PEDO\Desktop\abhishek\1. management of mesiodens\DSCN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EDO\Desktop\abhishek\1. management of mesiodens\DSCN504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473" cy="1159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Fig 4(c)                     Fig 4 (d)</w:t>
      </w:r>
    </w:p>
    <w:p w:rsidR="00592808" w:rsidRDefault="00592808" w:rsidP="00592808">
      <w:pPr>
        <w:spacing w:line="276" w:lineRule="auto"/>
        <w:jc w:val="both"/>
        <w:rPr>
          <w:rFonts w:ascii="Times New Roman" w:hAnsi="Times New Roman" w:cs="Times New Roman"/>
          <w:sz w:val="24"/>
          <w:szCs w:val="24"/>
        </w:rPr>
      </w:pPr>
    </w:p>
    <w:p w:rsidR="00592808" w:rsidRDefault="00592808" w:rsidP="00592808">
      <w:pPr>
        <w:spacing w:line="276" w:lineRule="auto"/>
        <w:jc w:val="both"/>
        <w:rPr>
          <w:rFonts w:ascii="Times New Roman" w:hAnsi="Times New Roman" w:cs="Times New Roman"/>
          <w:sz w:val="24"/>
          <w:szCs w:val="24"/>
        </w:rPr>
      </w:pPr>
      <w:r w:rsidRPr="002B7907">
        <w:rPr>
          <w:rFonts w:ascii="Times New Roman" w:hAnsi="Times New Roman" w:cs="Times New Roman"/>
          <w:noProof/>
          <w:sz w:val="24"/>
          <w:szCs w:val="24"/>
          <w:lang w:val="en-US"/>
        </w:rPr>
        <w:drawing>
          <wp:inline distT="0" distB="0" distL="0" distR="0">
            <wp:extent cx="1054486" cy="756189"/>
            <wp:effectExtent l="76200" t="76200" r="127000" b="139700"/>
            <wp:docPr id="1031" name="Picture 7" descr="C:\Users\PEDO\Desktop\abhishek\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PEDO\Desktop\abhishek\8 (2).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99" cy="769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2B7907">
        <w:rPr>
          <w:rFonts w:ascii="Times New Roman" w:hAnsi="Times New Roman" w:cs="Times New Roman"/>
          <w:noProof/>
          <w:sz w:val="24"/>
          <w:szCs w:val="24"/>
          <w:lang w:val="en-US"/>
        </w:rPr>
        <w:drawing>
          <wp:inline distT="0" distB="0" distL="0" distR="0">
            <wp:extent cx="1104900" cy="765072"/>
            <wp:effectExtent l="76200" t="76200" r="133350" b="130810"/>
            <wp:docPr id="1032" name="Picture 8" descr="C:\Users\PEDO\Desktop\abhishe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PEDO\Desktop\abhishek\10.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696"/>
                    <a:stretch/>
                  </pic:blipFill>
                  <pic:spPr bwMode="auto">
                    <a:xfrm>
                      <a:off x="0" y="0"/>
                      <a:ext cx="1159967" cy="803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Fig 4 (e)                     Fig 4 (f)</w:t>
      </w:r>
    </w:p>
    <w:p w:rsidR="00592808" w:rsidRDefault="00592808" w:rsidP="00592808">
      <w:pPr>
        <w:spacing w:line="276" w:lineRule="auto"/>
        <w:jc w:val="both"/>
        <w:rPr>
          <w:rFonts w:ascii="Times New Roman" w:hAnsi="Times New Roman" w:cs="Times New Roman"/>
          <w:sz w:val="24"/>
          <w:szCs w:val="24"/>
        </w:rPr>
      </w:pPr>
      <w:r w:rsidRPr="002B7907">
        <w:rPr>
          <w:rFonts w:ascii="Times New Roman" w:hAnsi="Times New Roman" w:cs="Times New Roman"/>
          <w:noProof/>
          <w:sz w:val="24"/>
          <w:szCs w:val="24"/>
          <w:lang w:val="en-US"/>
        </w:rPr>
        <w:drawing>
          <wp:inline distT="0" distB="0" distL="0" distR="0">
            <wp:extent cx="1125684" cy="845185"/>
            <wp:effectExtent l="76200" t="76200" r="132080" b="126365"/>
            <wp:docPr id="1030" name="Picture 6" descr="C:\Users\PEDO\Desktop\abhishek\20160715_15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EDO\Desktop\abhishek\20160715_154621.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08" r="11039" b="14097"/>
                    <a:stretch/>
                  </pic:blipFill>
                  <pic:spPr bwMode="auto">
                    <a:xfrm>
                      <a:off x="0" y="0"/>
                      <a:ext cx="1139813" cy="855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Fig 4 (g)</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The intra oral examination revealed crowding in the maxillary anterior region along with the presence of tooth like conical structure present palatally. There was no abnormality detected in the mandibular arch. The intra oral periapical radiograph of the maxillary anterior region revealed the presence of supernumerary tooth palatally. Extraction of the mesiodense was done which was followed by fixed orthodontic treatment</w:t>
      </w:r>
      <w:r w:rsidR="00962F06">
        <w:rPr>
          <w:rFonts w:ascii="Times New Roman" w:hAnsi="Times New Roman" w:cs="Times New Roman"/>
          <w:sz w:val="24"/>
          <w:szCs w:val="24"/>
        </w:rPr>
        <w:t xml:space="preserve"> for 9 months</w:t>
      </w:r>
      <w:r>
        <w:rPr>
          <w:rFonts w:ascii="Times New Roman" w:hAnsi="Times New Roman" w:cs="Times New Roman"/>
          <w:sz w:val="24"/>
          <w:szCs w:val="24"/>
        </w:rPr>
        <w:t>.</w:t>
      </w:r>
      <w:r w:rsidR="00962F06">
        <w:rPr>
          <w:rFonts w:ascii="Times New Roman" w:hAnsi="Times New Roman" w:cs="Times New Roman"/>
          <w:sz w:val="24"/>
          <w:szCs w:val="24"/>
        </w:rPr>
        <w:t xml:space="preserve"> After debonding, a fixed retainer was given</w:t>
      </w:r>
      <w:r>
        <w:rPr>
          <w:rFonts w:ascii="Times New Roman" w:hAnsi="Times New Roman" w:cs="Times New Roman"/>
          <w:sz w:val="24"/>
          <w:szCs w:val="24"/>
        </w:rPr>
        <w:t>. The follow up after 1 year shows aligned maxillary teeth.</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CASE 5-</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7 year </w:t>
      </w:r>
      <w:r w:rsidRPr="00E2161C">
        <w:rPr>
          <w:rFonts w:ascii="Times New Roman" w:hAnsi="Times New Roman" w:cs="Times New Roman"/>
          <w:sz w:val="24"/>
          <w:szCs w:val="24"/>
        </w:rPr>
        <w:t>old male patient reported to the Department of Pedodontics and Preventive Dentistry, Kothiwal Dental College and Research Centre, Mor</w:t>
      </w:r>
      <w:r>
        <w:rPr>
          <w:rFonts w:ascii="Times New Roman" w:hAnsi="Times New Roman" w:cs="Times New Roman"/>
          <w:sz w:val="24"/>
          <w:szCs w:val="24"/>
        </w:rPr>
        <w:t xml:space="preserve">adabad with the chief complaint of tooth like structure present behind the upper front teeth. The medical and dental history were non-contributory. The intra oral examination (Fig 5 a,b,c) </w:t>
      </w:r>
      <w:r>
        <w:rPr>
          <w:rFonts w:ascii="Times New Roman" w:hAnsi="Times New Roman" w:cs="Times New Roman"/>
          <w:sz w:val="24"/>
          <w:szCs w:val="24"/>
        </w:rPr>
        <w:lastRenderedPageBreak/>
        <w:t>revealed crowding in the maxillary anterior region along with the presence of tooth like conical structure present palatally and grossly carious irt 75, proximal caries irt 84 and occlusal caries irt 85. The intraoral periapical radiograph (Fig</w:t>
      </w:r>
      <w:r w:rsidR="00962F06">
        <w:rPr>
          <w:rFonts w:ascii="Times New Roman" w:hAnsi="Times New Roman" w:cs="Times New Roman"/>
          <w:sz w:val="24"/>
          <w:szCs w:val="24"/>
        </w:rPr>
        <w:t xml:space="preserve"> 5</w:t>
      </w:r>
      <w:r>
        <w:rPr>
          <w:rFonts w:ascii="Times New Roman" w:hAnsi="Times New Roman" w:cs="Times New Roman"/>
          <w:sz w:val="24"/>
          <w:szCs w:val="24"/>
        </w:rPr>
        <w:t xml:space="preserve"> d,e) revealed presence of supernumerary tooth in maxillary region and chronic irreversible pulpitis irt 75. The mesiodense was extracted on the same visit (Fig 5 f,g),and in subsequent appointments pulpectomy was done irt 75 (Fig 5 h,i)which was followed by stainless steel crown and 84, 85 were restored (</w:t>
      </w:r>
      <w:r>
        <w:rPr>
          <w:rFonts w:ascii="Times New Roman" w:hAnsi="Times New Roman" w:cs="Times New Roman"/>
          <w:noProof/>
          <w:sz w:val="24"/>
          <w:szCs w:val="24"/>
          <w:lang w:eastAsia="en-IN"/>
        </w:rPr>
        <w:t>Fig 5 j,k)</w:t>
      </w:r>
      <w:r w:rsidR="00962F06">
        <w:rPr>
          <w:rFonts w:ascii="Times New Roman" w:hAnsi="Times New Roman" w:cs="Times New Roman"/>
          <w:noProof/>
          <w:sz w:val="24"/>
          <w:szCs w:val="24"/>
          <w:lang w:eastAsia="en-IN"/>
        </w:rPr>
        <w:t>. The case is still on follow up and the patient has been advised fixed orthodontic treatment for crowding</w:t>
      </w:r>
      <w:r>
        <w:rPr>
          <w:rFonts w:ascii="Times New Roman" w:hAnsi="Times New Roman" w:cs="Times New Roman"/>
          <w:sz w:val="24"/>
          <w:szCs w:val="24"/>
        </w:rPr>
        <w:t xml:space="preserve">. </w:t>
      </w:r>
    </w:p>
    <w:p w:rsidR="00592808" w:rsidRDefault="00592808" w:rsidP="00913EEC">
      <w:pPr>
        <w:spacing w:line="276" w:lineRule="auto"/>
        <w:jc w:val="center"/>
        <w:rPr>
          <w:rFonts w:ascii="Times New Roman" w:hAnsi="Times New Roman" w:cs="Times New Roman"/>
          <w:sz w:val="24"/>
          <w:szCs w:val="24"/>
        </w:rPr>
      </w:pPr>
      <w:r>
        <w:rPr>
          <w:noProof/>
          <w:lang w:val="en-US"/>
        </w:rPr>
        <w:drawing>
          <wp:inline distT="0" distB="0" distL="0" distR="0">
            <wp:extent cx="1784350" cy="907415"/>
            <wp:effectExtent l="76200" t="76200" r="139700" b="14033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4350" cy="90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spacing w:line="276" w:lineRule="auto"/>
        <w:jc w:val="center"/>
        <w:rPr>
          <w:rFonts w:ascii="Times New Roman" w:hAnsi="Times New Roman" w:cs="Times New Roman"/>
          <w:sz w:val="24"/>
          <w:szCs w:val="24"/>
        </w:rPr>
      </w:pPr>
      <w:r>
        <w:rPr>
          <w:rFonts w:ascii="Times New Roman" w:hAnsi="Times New Roman" w:cs="Times New Roman"/>
          <w:sz w:val="24"/>
          <w:szCs w:val="24"/>
        </w:rPr>
        <w:t>Fig 5 (a)</w:t>
      </w:r>
    </w:p>
    <w:p w:rsidR="00592808" w:rsidRDefault="00592808" w:rsidP="00913EEC">
      <w:pPr>
        <w:spacing w:line="276" w:lineRule="auto"/>
        <w:jc w:val="center"/>
        <w:rPr>
          <w:rFonts w:ascii="Times New Roman" w:hAnsi="Times New Roman" w:cs="Times New Roman"/>
          <w:sz w:val="24"/>
          <w:szCs w:val="24"/>
        </w:rPr>
      </w:pPr>
      <w:r>
        <w:rPr>
          <w:noProof/>
          <w:lang w:val="en-US"/>
        </w:rPr>
        <w:drawing>
          <wp:inline distT="0" distB="0" distL="0" distR="0">
            <wp:extent cx="1085850" cy="761365"/>
            <wp:effectExtent l="76200" t="76200" r="133350" b="13398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5850" cy="761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1082675" cy="767080"/>
            <wp:effectExtent l="76200" t="76200" r="136525" b="12827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675" cy="767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spacing w:line="276" w:lineRule="auto"/>
        <w:jc w:val="center"/>
        <w:rPr>
          <w:rFonts w:ascii="Times New Roman" w:hAnsi="Times New Roman" w:cs="Times New Roman"/>
          <w:sz w:val="24"/>
          <w:szCs w:val="24"/>
        </w:rPr>
      </w:pPr>
      <w:r>
        <w:rPr>
          <w:rFonts w:ascii="Times New Roman" w:hAnsi="Times New Roman" w:cs="Times New Roman"/>
          <w:sz w:val="24"/>
          <w:szCs w:val="24"/>
        </w:rPr>
        <w:t>Fig 5 (b)                      Fig (c)</w:t>
      </w:r>
    </w:p>
    <w:p w:rsidR="00592808" w:rsidRDefault="00592808" w:rsidP="00913EEC">
      <w:pPr>
        <w:spacing w:line="276" w:lineRule="auto"/>
        <w:jc w:val="center"/>
        <w:rPr>
          <w:noProof/>
          <w:lang w:eastAsia="en-IN"/>
        </w:rPr>
      </w:pPr>
      <w:r>
        <w:rPr>
          <w:noProof/>
          <w:lang w:val="en-US"/>
        </w:rPr>
        <w:drawing>
          <wp:inline distT="0" distB="0" distL="0" distR="0">
            <wp:extent cx="854075" cy="1210310"/>
            <wp:effectExtent l="76200" t="76200" r="136525" b="14224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4075" cy="12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1286510" cy="731520"/>
            <wp:effectExtent l="76200" t="76200" r="142240" b="12573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6510" cy="73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913EEC">
      <w:pPr>
        <w:spacing w:line="276" w:lineRule="auto"/>
        <w:jc w:val="center"/>
        <w:rPr>
          <w:noProof/>
          <w:lang w:eastAsia="en-IN"/>
        </w:rPr>
      </w:pPr>
      <w:r>
        <w:rPr>
          <w:noProof/>
          <w:lang w:eastAsia="en-IN"/>
        </w:rPr>
        <w:t>Fig 5 (d)                           Fig 5 (e)</w:t>
      </w:r>
    </w:p>
    <w:p w:rsidR="00592808" w:rsidRDefault="00592808" w:rsidP="00913EEC">
      <w:pPr>
        <w:spacing w:line="276" w:lineRule="auto"/>
        <w:jc w:val="center"/>
        <w:rPr>
          <w:noProof/>
          <w:lang w:eastAsia="en-IN"/>
        </w:rPr>
      </w:pPr>
      <w:r>
        <w:rPr>
          <w:noProof/>
          <w:lang w:val="en-US"/>
        </w:rPr>
        <w:lastRenderedPageBreak/>
        <w:drawing>
          <wp:inline distT="0" distB="0" distL="0" distR="0">
            <wp:extent cx="1186180" cy="986155"/>
            <wp:effectExtent l="76200" t="76200" r="128270" b="13779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6180" cy="98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1014095" cy="1014095"/>
            <wp:effectExtent l="76200" t="76200" r="128905" b="12890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095" cy="101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3EEC" w:rsidRDefault="00592808" w:rsidP="00913EEC">
      <w:pPr>
        <w:spacing w:line="276" w:lineRule="auto"/>
        <w:jc w:val="center"/>
        <w:rPr>
          <w:noProof/>
          <w:lang w:eastAsia="en-IN"/>
        </w:rPr>
      </w:pPr>
      <w:r>
        <w:rPr>
          <w:noProof/>
          <w:lang w:eastAsia="en-IN"/>
        </w:rPr>
        <w:t>Fig 5 (f)                            Fig 5 (g)</w:t>
      </w:r>
    </w:p>
    <w:p w:rsidR="00592808" w:rsidRPr="00913EEC" w:rsidRDefault="00592808" w:rsidP="00913EEC">
      <w:pPr>
        <w:spacing w:line="276" w:lineRule="auto"/>
        <w:jc w:val="center"/>
        <w:rPr>
          <w:noProof/>
          <w:lang w:eastAsia="en-IN"/>
        </w:rPr>
      </w:pPr>
      <w:r w:rsidRPr="00913EEC">
        <w:rPr>
          <w:noProof/>
          <w:lang w:val="en-US"/>
        </w:rPr>
        <w:drawing>
          <wp:inline distT="0" distB="0" distL="0" distR="0">
            <wp:extent cx="1168400" cy="946150"/>
            <wp:effectExtent l="76200" t="76200" r="127000" b="13970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400" cy="946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13EEC">
        <w:rPr>
          <w:noProof/>
          <w:lang w:val="en-US"/>
        </w:rPr>
        <w:drawing>
          <wp:inline distT="0" distB="0" distL="0" distR="0">
            <wp:extent cx="1051560" cy="681355"/>
            <wp:effectExtent l="76200" t="76200" r="129540" b="137795"/>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1560" cy="681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592808">
      <w:pPr>
        <w:spacing w:line="276" w:lineRule="auto"/>
        <w:jc w:val="both"/>
        <w:rPr>
          <w:noProof/>
          <w:lang w:eastAsia="en-IN"/>
        </w:rPr>
      </w:pPr>
      <w:r>
        <w:rPr>
          <w:noProof/>
          <w:lang w:eastAsia="en-IN"/>
        </w:rPr>
        <w:t>Fig 5 (h)                             Fig 5 (i)</w:t>
      </w:r>
    </w:p>
    <w:p w:rsidR="00592808" w:rsidRDefault="00592808" w:rsidP="00592808">
      <w:pPr>
        <w:spacing w:line="276" w:lineRule="auto"/>
        <w:jc w:val="both"/>
        <w:rPr>
          <w:rFonts w:ascii="Times New Roman" w:hAnsi="Times New Roman" w:cs="Times New Roman"/>
          <w:sz w:val="24"/>
          <w:szCs w:val="24"/>
        </w:rPr>
      </w:pPr>
      <w:r>
        <w:rPr>
          <w:noProof/>
          <w:lang w:val="en-US"/>
        </w:rPr>
        <w:drawing>
          <wp:inline distT="0" distB="0" distL="0" distR="0">
            <wp:extent cx="1017905" cy="850900"/>
            <wp:effectExtent l="76200" t="76200" r="125095" b="13970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7905" cy="8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1111250" cy="850900"/>
            <wp:effectExtent l="76200" t="76200" r="127000" b="13970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1250" cy="8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808" w:rsidRDefault="00592808" w:rsidP="00592808">
      <w:pPr>
        <w:spacing w:line="276" w:lineRule="auto"/>
        <w:jc w:val="both"/>
        <w:rPr>
          <w:rFonts w:ascii="Times New Roman" w:hAnsi="Times New Roman" w:cs="Times New Roman"/>
          <w:sz w:val="24"/>
          <w:szCs w:val="24"/>
        </w:rPr>
      </w:pPr>
      <w:r>
        <w:rPr>
          <w:noProof/>
          <w:lang w:eastAsia="en-IN"/>
        </w:rPr>
        <w:t>Fig 5 (j)                             Fig 5 (k)</w:t>
      </w:r>
    </w:p>
    <w:p w:rsidR="00592808" w:rsidRDefault="008C36A6" w:rsidP="00592808">
      <w:pPr>
        <w:spacing w:line="276" w:lineRule="auto"/>
        <w:jc w:val="both"/>
        <w:rPr>
          <w:rFonts w:ascii="Times New Roman" w:hAnsi="Times New Roman" w:cs="Times New Roman"/>
          <w:sz w:val="24"/>
          <w:szCs w:val="24"/>
        </w:rPr>
      </w:pPr>
      <w:r w:rsidRPr="008C36A6">
        <w:rPr>
          <w:rFonts w:ascii="Times New Roman" w:hAnsi="Times New Roman" w:cs="Times New Roman"/>
          <w:noProof/>
          <w:sz w:val="24"/>
          <w:szCs w:val="24"/>
          <w:lang w:eastAsia="en-IN"/>
        </w:rPr>
        <w:pict>
          <v:line id="Straight Connector 33" o:spid="_x0000_s1029" style="position:absolute;left:0;text-align:left;flip:y;z-index:251659776;visibility:visible;mso-position-horizontal:left;mso-position-horizontal-relative:margin;mso-width-relative:margin;mso-height-relative:margin" from="0,7.1pt" to="21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aj5gEAABwEAAAOAAAAZHJzL2Uyb0RvYy54bWysU8FuGyEQvVfqPyDu9a5tJa1WXufgKL1U&#10;rdU0vRN28CIBg4B613/fgbXXSXpq1QsCZt6beY9hczdaw44QokbX8uWi5gycxE67Q8uffjx8+MRZ&#10;TMJ1wqCDlp8g8rvt+3ebwTewwh5NB4ERiYvN4Fvep+SbqoqyByviAj04CioMViQ6hkPVBTEQuzXV&#10;qq5vqwFD5wNKiJFu76cg3xZ+pUCmb0pFSMy0nHpLZQ1lfc5rtd2I5hCE77U8tyH+oQsrtKOiM9W9&#10;SIL9CvoPKqtlwIgqLSTaCpXSEooGUrOs36h57IWHooXMiX62Kf4/Wvn1uA9Mdy1frzlzwtIbPaYg&#10;9KFPbIfOkYMYGAXJqcHHhgA7tw/nU/T7kGWPKlimjPY/aQiKESSNjcXn0+wzjIlJulx9rG+WNT2H&#10;pNjt+qY8QzWxZDYfYvoMaFnetNxol10QjTh+iYkqU+olJV8bxwYqS6x1SYtodPegjcnBMkmwM4Ed&#10;Bc1AGpdZCTG8yKKTcXSZ9U2Kyi6dDEz830GRR9T5pO0Np5ASXLrwGkfZGaaogxl47iyP9bWZ18Bz&#10;foZCmdy/Ac+IUhldmsFWOwyTL6+rX61QU/7FgUl3tuAZu1N562INjWBx7vxd8oy/PBf49VNvfwMA&#10;AP//AwBQSwMEFAAGAAgAAAAhAODmUv3bAAAABgEAAA8AAABkcnMvZG93bnJldi54bWxMj8FOwzAM&#10;hu9IvENkpN1YumqtUGk6DVBvkyYGB7hljddWNE6VpFt5e8xpO/r7rd+fy81sB3FGH3pHClbLBARS&#10;40xPrYLPj/rxCUSImoweHKGCXwywqe7vSl0Yd6F3PB9iK7iEQqEVdDGOhZSh6dDqsHQjEmcn562O&#10;PPpWGq8vXG4HmSZJLq3uiS90esTXDpufw2QV7Hf71fbbjfnpK8um7MXX8i3USi0e5u0ziIhzvC7D&#10;vz6rQ8VORzeRCWJQwI9EpusUBKfrNGdwZJClIKtS3upXfwAAAP//AwBQSwECLQAUAAYACAAAACEA&#10;toM4kv4AAADhAQAAEwAAAAAAAAAAAAAAAAAAAAAAW0NvbnRlbnRfVHlwZXNdLnhtbFBLAQItABQA&#10;BgAIAAAAIQA4/SH/1gAAAJQBAAALAAAAAAAAAAAAAAAAAC8BAABfcmVscy8ucmVsc1BLAQItABQA&#10;BgAIAAAAIQCJH8aj5gEAABwEAAAOAAAAAAAAAAAAAAAAAC4CAABkcnMvZTJvRG9jLnhtbFBLAQIt&#10;ABQABgAIAAAAIQDg5lL92wAAAAYBAAAPAAAAAAAAAAAAAAAAAEAEAABkcnMvZG93bnJldi54bWxQ&#10;SwUGAAAAAAQABADzAAAASAUAAAAA&#10;" strokecolor="black [3213]" strokeweight="1pt">
            <v:stroke joinstyle="miter"/>
            <w10:wrap anchorx="margin"/>
          </v:line>
        </w:pic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DISCUSSION</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Both genetic and environmental factors have been considered responsible for the occurance of supernumerary teeth. Various theories have been put forward- </w:t>
      </w:r>
    </w:p>
    <w:p w:rsidR="00592808" w:rsidRDefault="00592808" w:rsidP="00592808">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Atavism theory- suggests that supernumerary teeth are a result of phylogenetic reversion to extinct primates with three pairs of incisors.</w:t>
      </w:r>
      <w:r>
        <w:rPr>
          <w:rFonts w:ascii="Times New Roman" w:hAnsi="Times New Roman" w:cs="Times New Roman"/>
          <w:sz w:val="24"/>
          <w:szCs w:val="24"/>
          <w:vertAlign w:val="superscript"/>
        </w:rPr>
        <w:t>2</w:t>
      </w:r>
    </w:p>
    <w:p w:rsidR="00592808" w:rsidRDefault="00592808" w:rsidP="00592808">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Dichotomy theory- suggests that the tooth bud splits into two equal or different</w:t>
      </w:r>
      <w:r>
        <w:rPr>
          <w:rFonts w:ascii="Times New Roman" w:hAnsi="Times New Roman" w:cs="Times New Roman"/>
          <w:sz w:val="24"/>
          <w:szCs w:val="24"/>
        </w:rPr>
        <w:noBreakHyphen/>
        <w:t>sized parts, resulting in the formation of two teeth of equal size, or one normal and one dysmorphic tooth respectively.</w:t>
      </w:r>
      <w:r>
        <w:rPr>
          <w:rFonts w:ascii="Times New Roman" w:hAnsi="Times New Roman" w:cs="Times New Roman"/>
          <w:sz w:val="24"/>
          <w:szCs w:val="24"/>
          <w:vertAlign w:val="superscript"/>
        </w:rPr>
        <w:t>4</w:t>
      </w:r>
    </w:p>
    <w:p w:rsidR="00592808" w:rsidRDefault="00592808" w:rsidP="00592808">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Dental lamina hyperactivity theory- suggests localized, independent, conditioned hyperactivity of the dental lamina. According to this theory, a supplemental form would develop from the lingual extension of an accessory tooth bud, whereas a rudimentary form would develop from the proliferation of epithelial remnants of the dental lamina. This is the most accepted theory.</w:t>
      </w:r>
      <w:r>
        <w:rPr>
          <w:rFonts w:ascii="Times New Roman" w:hAnsi="Times New Roman" w:cs="Times New Roman"/>
          <w:sz w:val="24"/>
          <w:szCs w:val="24"/>
          <w:vertAlign w:val="superscript"/>
        </w:rPr>
        <w:t>2</w:t>
      </w:r>
    </w:p>
    <w:p w:rsidR="00592808" w:rsidRDefault="00592808" w:rsidP="00592808">
      <w:pPr>
        <w:pStyle w:val="ListParagraph"/>
        <w:spacing w:line="276"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They may also be associated with specific developmental syndromes, such as cleft lip and palate, cleidocranial dysplasia, chorhinophalangeal syndrome and Gardner’s syndrome.</w:t>
      </w:r>
      <w:r>
        <w:rPr>
          <w:rFonts w:ascii="Times New Roman" w:hAnsi="Times New Roman" w:cs="Times New Roman"/>
          <w:sz w:val="24"/>
          <w:szCs w:val="24"/>
          <w:vertAlign w:val="superscript"/>
        </w:rPr>
        <w:t>5</w:t>
      </w:r>
    </w:p>
    <w:p w:rsidR="00592808" w:rsidRDefault="00592808" w:rsidP="00592808">
      <w:pPr>
        <w:pStyle w:val="ListParagraph"/>
        <w:spacing w:line="276"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Morphologically, mesiodens may have heterogeneous forms. Three common types; namely, conical or peg shaped, tuberculate and supplemental (tooth like) have been reported, of which the conical form is the most common type.</w:t>
      </w:r>
      <w:r>
        <w:rPr>
          <w:rFonts w:ascii="Times New Roman" w:hAnsi="Times New Roman" w:cs="Times New Roman"/>
          <w:sz w:val="24"/>
          <w:szCs w:val="24"/>
          <w:vertAlign w:val="superscript"/>
        </w:rPr>
        <w:t>7,8</w:t>
      </w:r>
    </w:p>
    <w:p w:rsidR="00592808" w:rsidRDefault="00592808" w:rsidP="00592808">
      <w:pPr>
        <w:pStyle w:val="ListParagraph"/>
        <w:spacing w:line="276"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Supernumerary teeth may stay in their position for many years without any clinical interference to the dentition. They may erupt, stay impacted, appear inverted and assume an abnormal ectopic position. However, they most frequently cause local disturbances; such as delay or prevention in the eruption of the associated permanent incisors, midline diastema, crowding and mal alignment of the incisors, displacement and rotations of the adjacent teeth, possible development of dentigerous cyst, root resorption or dilaceration and migration into the nasal cavity or maxillary sinus. They may be detected by clinical examination as a result of delay in the normal eruption of the </w:t>
      </w:r>
      <w:r>
        <w:rPr>
          <w:rFonts w:ascii="Times New Roman" w:hAnsi="Times New Roman" w:cs="Times New Roman"/>
          <w:sz w:val="24"/>
          <w:szCs w:val="24"/>
        </w:rPr>
        <w:lastRenderedPageBreak/>
        <w:t>permanent incisor, or in a routine radiographic examination (panoramic or periapical) for pediatric dentistry or orthodontic examination and treatment planning. Therefore, early detection and timely intervention is imperative to avoid these deleterious effects in the maxillary anterior region.</w:t>
      </w:r>
      <w:r>
        <w:rPr>
          <w:rFonts w:ascii="Times New Roman" w:hAnsi="Times New Roman" w:cs="Times New Roman"/>
          <w:sz w:val="24"/>
          <w:szCs w:val="24"/>
          <w:vertAlign w:val="superscript"/>
        </w:rPr>
        <w:t>6</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Delayed, ectopic or asymmetric eruption of the central incisors should alert the clinician to the possibility of a mesiodens. The clinician should obtain accurate radiographs. Early diagnosis of a mesiodens minimizes the treatment required and prevents development of associated problems.</w:t>
      </w:r>
      <w:r>
        <w:rPr>
          <w:rFonts w:ascii="Times New Roman" w:hAnsi="Times New Roman" w:cs="Times New Roman"/>
          <w:sz w:val="24"/>
          <w:szCs w:val="24"/>
          <w:vertAlign w:val="superscript"/>
        </w:rPr>
        <w:t xml:space="preserve">9   </w:t>
      </w:r>
      <w:r>
        <w:rPr>
          <w:rFonts w:ascii="Times New Roman" w:hAnsi="Times New Roman" w:cs="Times New Roman"/>
          <w:sz w:val="24"/>
          <w:szCs w:val="24"/>
        </w:rPr>
        <w:t>Only 25% of all mesiodentes spontaneously erupt into the oral cavity. If unerupted, the tooth can alter both the eruption of the permanent incisors and the resulting occlusion.Furthermore, in 75% of cases, the incisor erupts spontaneously once the mesiodens has been removed.</w:t>
      </w:r>
      <w:r>
        <w:rPr>
          <w:rFonts w:ascii="Times New Roman" w:hAnsi="Times New Roman" w:cs="Times New Roman"/>
          <w:sz w:val="24"/>
          <w:szCs w:val="24"/>
          <w:vertAlign w:val="superscript"/>
        </w:rPr>
        <w:t xml:space="preserve">10 </w:t>
      </w:r>
      <w:r>
        <w:rPr>
          <w:rFonts w:ascii="Times New Roman" w:hAnsi="Times New Roman" w:cs="Times New Roman"/>
          <w:sz w:val="24"/>
          <w:szCs w:val="24"/>
        </w:rPr>
        <w:t xml:space="preserve">Therefore, once a mesiodens has been diagnosed, the clinician must decide on treatment to minimize further sequelae. </w:t>
      </w:r>
    </w:p>
    <w:p w:rsidR="00592808" w:rsidRDefault="00592808" w:rsidP="00592808">
      <w:pPr>
        <w:spacing w:line="276" w:lineRule="auto"/>
        <w:jc w:val="both"/>
        <w:rPr>
          <w:rFonts w:ascii="Times New Roman" w:hAnsi="Times New Roman" w:cs="Times New Roman"/>
          <w:sz w:val="24"/>
          <w:szCs w:val="24"/>
          <w:vertAlign w:val="superscript"/>
        </w:rPr>
      </w:pPr>
      <w:r>
        <w:rPr>
          <w:rFonts w:ascii="Times New Roman" w:hAnsi="Times New Roman" w:cs="Times New Roman"/>
          <w:sz w:val="24"/>
          <w:szCs w:val="24"/>
        </w:rPr>
        <w:t>Extraction of a mesiodens at a time appropriate for promoting self-eruption in the early mixed dentition may result in better alignment of the teeth and may minimize the need for orthodontic treatment.</w:t>
      </w:r>
      <w:r>
        <w:rPr>
          <w:rFonts w:ascii="Times New Roman" w:hAnsi="Times New Roman" w:cs="Times New Roman"/>
          <w:sz w:val="24"/>
          <w:szCs w:val="24"/>
          <w:vertAlign w:val="superscript"/>
        </w:rPr>
        <w:t>2</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Supernumerary teeth can be either erupted or unerupted. Erupted supernumeraries should be preferentially extracted except in cases where the supernumerary teeth need to be retained. Unerupted teeth can be those associated with complications and those not associated with complications. Those not associated with complications can be kept </w:t>
      </w:r>
      <w:r>
        <w:rPr>
          <w:rFonts w:ascii="Times New Roman" w:hAnsi="Times New Roman" w:cs="Times New Roman"/>
          <w:sz w:val="24"/>
          <w:szCs w:val="24"/>
        </w:rPr>
        <w:lastRenderedPageBreak/>
        <w:t>under periodic review. Surgical removal can be delayed in cases if the supernumerary tooth is placed close to the apices of the developing permanent teeth or if the formation of the supernumerary teeth is in the initial stages resulting in chances of recurrence.</w:t>
      </w:r>
    </w:p>
    <w:p w:rsidR="00592808" w:rsidRDefault="00592808" w:rsidP="00592808">
      <w:pPr>
        <w:spacing w:line="276" w:lineRule="auto"/>
        <w:jc w:val="both"/>
        <w:rPr>
          <w:rFonts w:ascii="Times New Roman" w:hAnsi="Times New Roman" w:cs="Times New Roman"/>
          <w:sz w:val="24"/>
          <w:szCs w:val="24"/>
          <w:vertAlign w:val="superscript"/>
        </w:rPr>
      </w:pPr>
      <w:r>
        <w:rPr>
          <w:rFonts w:ascii="Times New Roman" w:hAnsi="Times New Roman" w:cs="Times New Roman"/>
          <w:sz w:val="24"/>
          <w:szCs w:val="24"/>
        </w:rPr>
        <w:t>Clinician should consider patient condition in the final decision, however early removal of the supernumerary teeth in order to prevent complications is the treatment of choice.</w:t>
      </w:r>
      <w:r>
        <w:rPr>
          <w:rFonts w:ascii="Times New Roman" w:hAnsi="Times New Roman" w:cs="Times New Roman"/>
          <w:sz w:val="24"/>
          <w:szCs w:val="24"/>
          <w:vertAlign w:val="superscript"/>
        </w:rPr>
        <w:t>4</w:t>
      </w:r>
    </w:p>
    <w:p w:rsidR="00592808" w:rsidRDefault="008C36A6" w:rsidP="00592808">
      <w:pPr>
        <w:spacing w:line="276" w:lineRule="auto"/>
        <w:jc w:val="both"/>
        <w:rPr>
          <w:rFonts w:ascii="Times New Roman" w:hAnsi="Times New Roman" w:cs="Times New Roman"/>
          <w:sz w:val="24"/>
          <w:szCs w:val="24"/>
        </w:rPr>
      </w:pPr>
      <w:r w:rsidRPr="008C36A6">
        <w:rPr>
          <w:rFonts w:ascii="Times New Roman" w:hAnsi="Times New Roman" w:cs="Times New Roman"/>
          <w:noProof/>
          <w:sz w:val="24"/>
          <w:szCs w:val="24"/>
          <w:lang w:eastAsia="en-IN"/>
        </w:rPr>
        <w:pict>
          <v:line id="Straight Connector 34" o:spid="_x0000_s1028" style="position:absolute;left:0;text-align:left;z-index:251660800;visibility:visible;mso-position-horizontal:left;mso-width-relative:margin;mso-height-relative:margin" from="0,6.3pt" to="21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dC2wEAABEEAAAOAAAAZHJzL2Uyb0RvYy54bWysU8FuGyEQvVfqPyDu9dpOnDQrr3NwlF6q&#10;1mraDyAseJGAQQP1rv++A2uvo7ZSlagXFph5b+a9Ydf3g7PsoDAa8A1fzOacKS+hNX7f8B/fHz98&#10;5Cwm4VthwauGH1Xk95v379Z9qNUSOrCtQkYkPtZ9aHiXUqirKspOORFnEJSnoAZ0ItER91WLoid2&#10;Z6vlfH5T9YBtQJAqRrp9GIN8U/i1VjJ91TqqxGzDqbdUVizrc16rzVrUexShM/LUhnhDF04YT0Un&#10;qgeRBPuJ5g8qZyRCBJ1mElwFWhupigZSs5j/puapE0EVLWRODJNN8f/Ryi+HHTLTNvzqmjMvHM3o&#10;KaEw+y6xLXhPDgIyCpJTfYg1AbZ+h6dTDDvMsgeNLn9JEBuKu8fJXTUkJulyeXt7fbeiIUiK3VzR&#10;jkiqCzZgTJ8UOJY3DbfGZ+2iFofPMY2p55R8bT3rG363Wq5KVgRr2kdjbY6V56O2FtlB0ODTsDjV&#10;epFFla2nBrKoUUbZpaNVI/03pckYanwxFshP8sIppFQ+nXmtp+wM09TBBJz/G3jKz1BVnutrwBOi&#10;VAafJrAzHvBv1S9W6DH/7MCoO1vwDO2xDLhYQ++uTOn0j+SH/fJc4Jc/efMLAAD//wMAUEsDBBQA&#10;BgAIAAAAIQCSOS+n2wAAAAYBAAAPAAAAZHJzL2Rvd25yZXYueG1sTI/BTsJAEIbvJrzDZki8yZaW&#10;VK3dEjVw8QZK4LjtDm1Dd7Z2F6hv73jC43z/5J9v8uVoO3HBwbeOFMxnEQikypmWagVfn+uHJxA+&#10;aDK6c4QKftDDspjc5Toz7kobvGxDLbiEfKYVNCH0mZS+atBqP3M9EmdHN1gdeBxqaQZ95XLbyTiK&#10;Uml1S3yh0T2+N1idtmeroFx9r+LkMO43u2QRxfO33Uf1vFbqfjq+voAIOIbbMvzpszoU7FS6Mxkv&#10;OgX8SGAapyA4XSSPDEoGSQqyyOV//eIXAAD//wMAUEsBAi0AFAAGAAgAAAAhALaDOJL+AAAA4QEA&#10;ABMAAAAAAAAAAAAAAAAAAAAAAFtDb250ZW50X1R5cGVzXS54bWxQSwECLQAUAAYACAAAACEAOP0h&#10;/9YAAACUAQAACwAAAAAAAAAAAAAAAAAvAQAAX3JlbHMvLnJlbHNQSwECLQAUAAYACAAAACEAgXm3&#10;QtsBAAARBAAADgAAAAAAAAAAAAAAAAAuAgAAZHJzL2Uyb0RvYy54bWxQSwECLQAUAAYACAAAACEA&#10;kjkvp9sAAAAGAQAADwAAAAAAAAAAAAAAAAA1BAAAZHJzL2Rvd25yZXYueG1sUEsFBgAAAAAEAAQA&#10;8wAAAD0FAAAAAA==&#10;" strokecolor="black [3213]">
            <v:stroke joinstyle="miter"/>
          </v:line>
        </w:pic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CONCLUSION </w:t>
      </w:r>
    </w:p>
    <w:p w:rsidR="00592808" w:rsidRDefault="00592808" w:rsidP="00592808">
      <w:pPr>
        <w:spacing w:line="276" w:lineRule="auto"/>
        <w:jc w:val="both"/>
        <w:rPr>
          <w:rFonts w:ascii="Times New Roman" w:hAnsi="Times New Roman" w:cs="Times New Roman"/>
          <w:sz w:val="24"/>
          <w:szCs w:val="24"/>
        </w:rPr>
      </w:pPr>
      <w:r>
        <w:rPr>
          <w:rFonts w:ascii="Times New Roman" w:hAnsi="Times New Roman" w:cs="Times New Roman"/>
          <w:sz w:val="24"/>
          <w:szCs w:val="24"/>
        </w:rPr>
        <w:t>Mesiodense being the most common form of supernumerary teeth is not a rare condition. Extraction of mesiodense in early mixed dentition helps in preventing the malocclusion. However, symptomless cases could be left untreated with regular checkups.</w:t>
      </w:r>
    </w:p>
    <w:p w:rsidR="00592808" w:rsidRDefault="008C36A6" w:rsidP="00592808">
      <w:pPr>
        <w:spacing w:line="276" w:lineRule="auto"/>
        <w:jc w:val="both"/>
        <w:rPr>
          <w:rFonts w:ascii="Times New Roman" w:hAnsi="Times New Roman" w:cs="Times New Roman"/>
          <w:sz w:val="24"/>
          <w:szCs w:val="24"/>
        </w:rPr>
      </w:pPr>
      <w:r w:rsidRPr="008C36A6">
        <w:rPr>
          <w:rFonts w:ascii="Times New Roman" w:hAnsi="Times New Roman" w:cs="Times New Roman"/>
          <w:noProof/>
          <w:sz w:val="24"/>
          <w:szCs w:val="24"/>
          <w:lang w:eastAsia="en-IN"/>
        </w:rPr>
        <w:pict>
          <v:line id="Straight Connector 35" o:spid="_x0000_s1027" style="position:absolute;left:0;text-align:left;z-index:251661824;visibility:visible;mso-position-horizontal:left;mso-width-relative:margin;mso-height-relative:margin" from="0,6.3pt" to="21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Su2wEAABEEAAAOAAAAZHJzL2Uyb0RvYy54bWysU8FuGyEQvVfqPyDu9a6dOmlWXufgKL1U&#10;rdWkH0BY8CIBgwbqtf++A2uvo7ZS1SgXFph5b+a9YVd3B2fZXmE04Fs+n9WcKS+hM37X8h9PDx8+&#10;cRaT8J2w4FXLjyryu/X7d6shNGoBPdhOISMSH5shtLxPKTRVFWWvnIgzCMpTUAM6keiIu6pDMRC7&#10;s9Wirq+rAbALCFLFSLf3Y5CvC7/WSqZvWkeVmG059ZbKimV9zmu1XolmhyL0Rp7aEK/owgnjqehE&#10;dS+SYD/R/EHljESIoNNMgqtAayNV0UBq5vVvah57EVTRQubEMNkU345Wft1vkZmu5VdLzrxwNKPH&#10;hMLs+sQ24D05CMgoSE4NITYE2Pgtnk4xbDHLPmh0+UuC2KG4e5zcVYfEJF0ubm4+3i5pCJJi11e0&#10;I5Lqgg0Y02cFjuVNy63xWbtoxP5LTGPqOSVfW8+Glt8uF8uSFcGa7sFYm2Pl+aiNRbYXNPh0mJ9q&#10;vciiytZTA1nUKKPs0tGqkf670mQMNT4fC+QneeEUUiqfzrzWU3aGaepgAtb/Bp7yM1SV5/o/4AlR&#10;KoNPE9gZD/i36hcr9Jh/dmDUnS14hu5YBlysoXdXpnT6R/LDfnku8MufvP4FAAD//wMAUEsDBBQA&#10;BgAIAAAAIQCSOS+n2wAAAAYBAAAPAAAAZHJzL2Rvd25yZXYueG1sTI/BTsJAEIbvJrzDZki8yZaW&#10;VK3dEjVw8QZK4LjtDm1Dd7Z2F6hv73jC43z/5J9v8uVoO3HBwbeOFMxnEQikypmWagVfn+uHJxA+&#10;aDK6c4QKftDDspjc5Toz7kobvGxDLbiEfKYVNCH0mZS+atBqP3M9EmdHN1gdeBxqaQZ95XLbyTiK&#10;Uml1S3yh0T2+N1idtmeroFx9r+LkMO43u2QRxfO33Uf1vFbqfjq+voAIOIbbMvzpszoU7FS6Mxkv&#10;OgX8SGAapyA4XSSPDEoGSQqyyOV//eIXAAD//wMAUEsBAi0AFAAGAAgAAAAhALaDOJL+AAAA4QEA&#10;ABMAAAAAAAAAAAAAAAAAAAAAAFtDb250ZW50X1R5cGVzXS54bWxQSwECLQAUAAYACAAAACEAOP0h&#10;/9YAAACUAQAACwAAAAAAAAAAAAAAAAAvAQAAX3JlbHMvLnJlbHNQSwECLQAUAAYACAAAACEASctE&#10;rtsBAAARBAAADgAAAAAAAAAAAAAAAAAuAgAAZHJzL2Uyb0RvYy54bWxQSwECLQAUAAYACAAAACEA&#10;kjkvp9sAAAAGAQAADwAAAAAAAAAAAAAAAAA1BAAAZHJzL2Rvd25yZXYueG1sUEsFBgAAAAAEAAQA&#10;8wAAAD0FAAAAAA==&#10;" strokecolor="black [3213]">
            <v:stroke joinstyle="miter"/>
          </v:line>
        </w:pict>
      </w:r>
    </w:p>
    <w:p w:rsidR="00592808" w:rsidRPr="005C4E2C" w:rsidRDefault="00592808" w:rsidP="00592808">
      <w:pPr>
        <w:spacing w:line="276" w:lineRule="auto"/>
        <w:jc w:val="both"/>
        <w:rPr>
          <w:rFonts w:ascii="Times New Roman" w:hAnsi="Times New Roman" w:cs="Times New Roman"/>
          <w:sz w:val="24"/>
          <w:szCs w:val="24"/>
        </w:rPr>
      </w:pPr>
      <w:r w:rsidRPr="005C4E2C">
        <w:rPr>
          <w:rFonts w:ascii="Times New Roman" w:hAnsi="Times New Roman" w:cs="Times New Roman"/>
          <w:sz w:val="24"/>
          <w:szCs w:val="24"/>
        </w:rPr>
        <w:t>REFERENCES</w:t>
      </w:r>
    </w:p>
    <w:p w:rsidR="00592808" w:rsidRPr="00962F06" w:rsidRDefault="00592808" w:rsidP="00962F06">
      <w:pPr>
        <w:pStyle w:val="ListParagraph"/>
        <w:numPr>
          <w:ilvl w:val="0"/>
          <w:numId w:val="1"/>
        </w:numPr>
        <w:spacing w:line="276" w:lineRule="auto"/>
        <w:rPr>
          <w:rFonts w:ascii="Times New Roman" w:hAnsi="Times New Roman" w:cs="Times New Roman"/>
          <w:sz w:val="24"/>
          <w:szCs w:val="24"/>
        </w:rPr>
      </w:pPr>
      <w:r w:rsidRPr="00962F06">
        <w:rPr>
          <w:rFonts w:ascii="Times New Roman" w:hAnsi="Times New Roman" w:cs="Times New Roman"/>
          <w:sz w:val="24"/>
          <w:szCs w:val="24"/>
        </w:rPr>
        <w:t>Di Biase DD. Midline supernumeraries and eruption of the maxillary central incisor. Dent Practit Dent Rec;20:35-40. 1969.</w:t>
      </w:r>
    </w:p>
    <w:p w:rsidR="00592808" w:rsidRPr="00962F06" w:rsidRDefault="00592808" w:rsidP="00962F06">
      <w:pPr>
        <w:pStyle w:val="ListParagraph"/>
        <w:numPr>
          <w:ilvl w:val="0"/>
          <w:numId w:val="1"/>
        </w:numPr>
        <w:spacing w:line="276" w:lineRule="auto"/>
        <w:rPr>
          <w:rFonts w:ascii="Times New Roman" w:hAnsi="Times New Roman" w:cs="Times New Roman"/>
          <w:sz w:val="24"/>
          <w:szCs w:val="24"/>
        </w:rPr>
      </w:pPr>
      <w:r w:rsidRPr="00962F06">
        <w:rPr>
          <w:rFonts w:ascii="Times New Roman" w:hAnsi="Times New Roman" w:cs="Times New Roman"/>
          <w:sz w:val="24"/>
          <w:szCs w:val="24"/>
        </w:rPr>
        <w:t>Primosch RE. Anterior supernumerary teeth — assessment and surgical intervention in children. Pediatr Dent 1981; 3(2):204–15.</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Mason C, Azam N, Holt RD, Rule DC. A retrospective study of unerupted maxillary incisors associated with supernumerary teeth. Brit J Oral Maxillofac Surg</w:t>
      </w:r>
      <w:r w:rsidR="005F085A">
        <w:rPr>
          <w:rFonts w:ascii="Times New Roman" w:hAnsi="Times New Roman" w:cs="Times New Roman"/>
          <w:sz w:val="24"/>
          <w:szCs w:val="24"/>
        </w:rPr>
        <w:t xml:space="preserve"> 2000</w:t>
      </w:r>
      <w:r w:rsidRPr="00962F06">
        <w:rPr>
          <w:rFonts w:ascii="Times New Roman" w:hAnsi="Times New Roman" w:cs="Times New Roman"/>
          <w:sz w:val="24"/>
          <w:szCs w:val="24"/>
        </w:rPr>
        <w:t xml:space="preserve">; 38:62-5. </w:t>
      </w:r>
    </w:p>
    <w:p w:rsidR="00592808" w:rsidRPr="00962F06" w:rsidRDefault="003B40B2" w:rsidP="00592808">
      <w:pPr>
        <w:pStyle w:val="ListParagraph"/>
        <w:numPr>
          <w:ilvl w:val="0"/>
          <w:numId w:val="1"/>
        </w:num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38" type="#_x0000_t202" style="position:absolute;left:0;text-align:left;margin-left:296.25pt;margin-top:16.5pt;width:204pt;height:93pt;z-index:251663872">
            <v:textbox>
              <w:txbxContent>
                <w:p w:rsidR="003B40B2" w:rsidRPr="00C45B01" w:rsidRDefault="003B40B2" w:rsidP="003B40B2">
                  <w:pPr>
                    <w:jc w:val="both"/>
                    <w:rPr>
                      <w:rFonts w:ascii="Times New Roman" w:hAnsi="Times New Roman" w:cs="Times New Roman"/>
                      <w:sz w:val="20"/>
                      <w:szCs w:val="20"/>
                    </w:rPr>
                  </w:pPr>
                  <w:r w:rsidRPr="005624A4">
                    <w:rPr>
                      <w:rFonts w:ascii="Times New Roman" w:hAnsi="Times New Roman" w:cs="Times New Roman"/>
                    </w:rPr>
                    <w:t>How to cite this article</w:t>
                  </w:r>
                  <w:r>
                    <w:t xml:space="preserve">. </w:t>
                  </w:r>
                  <w:r w:rsidRPr="003B40B2">
                    <w:rPr>
                      <w:rFonts w:ascii="Times New Roman" w:eastAsia="Times New Roman" w:hAnsi="Times New Roman" w:cs="Times New Roman"/>
                      <w:color w:val="231F20"/>
                    </w:rPr>
                    <w:t>Management of Supernumerary teeth in the Maxillary anterior region- a case series</w:t>
                  </w:r>
                  <w:r>
                    <w:rPr>
                      <w:rFonts w:ascii="Times New Roman" w:eastAsia="Times New Roman" w:hAnsi="Times New Roman" w:cs="Times New Roman"/>
                      <w:color w:val="231F20"/>
                    </w:rPr>
                    <w:t>.Tiwari P,Sharma C, Nisar R, Hassan S, Jabin A</w:t>
                  </w:r>
                  <w:r w:rsidRPr="003B40B2">
                    <w:rPr>
                      <w:rFonts w:ascii="Times New Roman" w:hAnsi="Times New Roman" w:cs="Times New Roman"/>
                      <w:sz w:val="20"/>
                      <w:szCs w:val="20"/>
                    </w:rPr>
                    <w:t xml:space="preserve"> </w:t>
                  </w:r>
                  <w:r>
                    <w:rPr>
                      <w:rFonts w:ascii="Times New Roman" w:hAnsi="Times New Roman" w:cs="Times New Roman"/>
                      <w:sz w:val="20"/>
                      <w:szCs w:val="20"/>
                    </w:rPr>
                    <w:t>Chronicles of Dental Research 2017</w:t>
                  </w:r>
                  <w:r w:rsidRPr="00C45B01">
                    <w:rPr>
                      <w:rFonts w:ascii="Times New Roman" w:hAnsi="Times New Roman" w:cs="Times New Roman"/>
                      <w:sz w:val="24"/>
                      <w:szCs w:val="24"/>
                    </w:rPr>
                    <w:t xml:space="preserve"> </w:t>
                  </w:r>
                  <w:r>
                    <w:rPr>
                      <w:rFonts w:ascii="Times New Roman" w:hAnsi="Times New Roman" w:cs="Times New Roman"/>
                      <w:sz w:val="24"/>
                      <w:szCs w:val="24"/>
                    </w:rPr>
                    <w:t>;</w:t>
                  </w:r>
                  <w:r w:rsidRPr="00C45B01">
                    <w:rPr>
                      <w:rFonts w:ascii="Times New Roman" w:hAnsi="Times New Roman" w:cs="Times New Roman"/>
                    </w:rPr>
                    <w:t>Vol6(2)</w:t>
                  </w:r>
                </w:p>
                <w:p w:rsidR="003B40B2" w:rsidRPr="003B40B2" w:rsidRDefault="003B40B2" w:rsidP="003B40B2">
                  <w:pPr>
                    <w:spacing w:line="276" w:lineRule="auto"/>
                    <w:jc w:val="both"/>
                    <w:rPr>
                      <w:rFonts w:ascii="Times New Roman" w:eastAsia="Times New Roman" w:hAnsi="Times New Roman" w:cs="Times New Roman"/>
                      <w:color w:val="231F20"/>
                    </w:rPr>
                  </w:pPr>
                </w:p>
                <w:p w:rsidR="003B40B2" w:rsidRDefault="003B40B2"/>
              </w:txbxContent>
            </v:textbox>
          </v:shape>
        </w:pict>
      </w:r>
      <w:r w:rsidR="00592808" w:rsidRPr="00962F06">
        <w:rPr>
          <w:rFonts w:ascii="Times New Roman" w:hAnsi="Times New Roman" w:cs="Times New Roman"/>
          <w:sz w:val="24"/>
          <w:szCs w:val="24"/>
        </w:rPr>
        <w:t>Rajab LD, Hamdan MA. Supernumerary teeth: Review of the literature and a survey of 152 cases. Int J Paediatr Dent 2002;12:244‑54.</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Brin I, Zilberman Y, Azaz B. The unerupted maxillary central incisor: review of its etiology and treatment. J Dent Child</w:t>
      </w:r>
      <w:r w:rsidR="005F085A">
        <w:rPr>
          <w:rFonts w:ascii="Times New Roman" w:hAnsi="Times New Roman" w:cs="Times New Roman"/>
          <w:sz w:val="24"/>
          <w:szCs w:val="24"/>
        </w:rPr>
        <w:t xml:space="preserve"> 1982. 49:352-6</w:t>
      </w:r>
      <w:r w:rsidRPr="00962F06">
        <w:rPr>
          <w:rFonts w:ascii="Times New Roman" w:hAnsi="Times New Roman" w:cs="Times New Roman"/>
          <w:sz w:val="24"/>
          <w:szCs w:val="24"/>
        </w:rPr>
        <w:t>.</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Howard RD. The unerupted incisor. A study of the post-operative eruption history of incisors delayed in their eruption by supernumerary teeth. Dent Pract</w:t>
      </w:r>
      <w:r w:rsidR="005F085A">
        <w:rPr>
          <w:rFonts w:ascii="Times New Roman" w:hAnsi="Times New Roman" w:cs="Times New Roman"/>
          <w:sz w:val="24"/>
          <w:szCs w:val="24"/>
        </w:rPr>
        <w:t xml:space="preserve"> 1976; 17:332-42.</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Gallas MM, García A. Retention of permanent incisors by mesiodens: a f</w:t>
      </w:r>
      <w:r w:rsidR="005F085A">
        <w:rPr>
          <w:rFonts w:ascii="Times New Roman" w:hAnsi="Times New Roman" w:cs="Times New Roman"/>
          <w:sz w:val="24"/>
          <w:szCs w:val="24"/>
        </w:rPr>
        <w:t xml:space="preserve">amily affair. Br Dent J 2000 </w:t>
      </w:r>
      <w:r w:rsidRPr="00962F06">
        <w:rPr>
          <w:rFonts w:ascii="Times New Roman" w:hAnsi="Times New Roman" w:cs="Times New Roman"/>
          <w:sz w:val="24"/>
          <w:szCs w:val="24"/>
        </w:rPr>
        <w:t>;188(2):63-4.</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 xml:space="preserve"> Prabhu NT, Rebecca J, Munshi AK. Mesiodens in the primary dentition--a case report. J Ind</w:t>
      </w:r>
      <w:r w:rsidR="005F085A">
        <w:rPr>
          <w:rFonts w:ascii="Times New Roman" w:hAnsi="Times New Roman" w:cs="Times New Roman"/>
          <w:sz w:val="24"/>
          <w:szCs w:val="24"/>
        </w:rPr>
        <w:t>ian Soc Pedod Prev Dent 1998</w:t>
      </w:r>
      <w:r w:rsidRPr="00962F06">
        <w:rPr>
          <w:rFonts w:ascii="Times New Roman" w:hAnsi="Times New Roman" w:cs="Times New Roman"/>
          <w:sz w:val="24"/>
          <w:szCs w:val="24"/>
        </w:rPr>
        <w:t>;16(3):93-5.</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pPr>
      <w:r w:rsidRPr="00962F06">
        <w:rPr>
          <w:rFonts w:ascii="Times New Roman" w:hAnsi="Times New Roman" w:cs="Times New Roman"/>
          <w:sz w:val="24"/>
          <w:szCs w:val="24"/>
        </w:rPr>
        <w:t>Von Arx T. Anterior maxillary supernumerary teeth: a clinical and radiographic study. Aust Dent J 1992; 37(3):189–95.</w:t>
      </w:r>
    </w:p>
    <w:p w:rsidR="00592808" w:rsidRPr="00962F06" w:rsidRDefault="00592808" w:rsidP="00592808">
      <w:pPr>
        <w:pStyle w:val="ListParagraph"/>
        <w:numPr>
          <w:ilvl w:val="0"/>
          <w:numId w:val="1"/>
        </w:numPr>
        <w:spacing w:line="276" w:lineRule="auto"/>
        <w:jc w:val="both"/>
        <w:rPr>
          <w:rFonts w:ascii="Times New Roman" w:hAnsi="Times New Roman" w:cs="Times New Roman"/>
          <w:sz w:val="24"/>
          <w:szCs w:val="24"/>
        </w:rPr>
        <w:sectPr w:rsidR="00592808" w:rsidRPr="00962F06" w:rsidSect="00592808">
          <w:type w:val="continuous"/>
          <w:pgSz w:w="12240" w:h="15840"/>
          <w:pgMar w:top="1440" w:right="1440" w:bottom="1440" w:left="1440" w:header="720" w:footer="720" w:gutter="0"/>
          <w:cols w:num="2" w:space="720"/>
          <w:docGrid w:linePitch="360"/>
        </w:sectPr>
      </w:pPr>
      <w:r w:rsidRPr="00962F06">
        <w:rPr>
          <w:rFonts w:ascii="Times New Roman" w:hAnsi="Times New Roman" w:cs="Times New Roman"/>
          <w:sz w:val="24"/>
          <w:szCs w:val="24"/>
        </w:rPr>
        <w:t xml:space="preserve">Hattab FN, Yassin OM, Rawashdeh MA. Supernumerary teeth: report of three cases and review of the literature. ASDC J </w:t>
      </w:r>
      <w:r w:rsidR="00D00B3E" w:rsidRPr="00962F06">
        <w:rPr>
          <w:rFonts w:ascii="Times New Roman" w:hAnsi="Times New Roman" w:cs="Times New Roman"/>
          <w:sz w:val="24"/>
          <w:szCs w:val="24"/>
        </w:rPr>
        <w:t>Dent Child 1994; 61(5-6):382–93</w:t>
      </w:r>
    </w:p>
    <w:p w:rsidR="00091F1F" w:rsidRDefault="00091F1F" w:rsidP="00D00B3E">
      <w:pPr>
        <w:tabs>
          <w:tab w:val="left" w:pos="3331"/>
        </w:tabs>
        <w:spacing w:line="276" w:lineRule="auto"/>
        <w:jc w:val="both"/>
      </w:pPr>
    </w:p>
    <w:sectPr w:rsidR="00091F1F" w:rsidSect="00592808">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9FD" w:rsidRDefault="00A169FD" w:rsidP="004442C0">
      <w:pPr>
        <w:spacing w:after="0" w:line="240" w:lineRule="auto"/>
      </w:pPr>
      <w:r>
        <w:separator/>
      </w:r>
    </w:p>
  </w:endnote>
  <w:endnote w:type="continuationSeparator" w:id="1">
    <w:p w:rsidR="00A169FD" w:rsidRDefault="00A169FD" w:rsidP="00444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9FD" w:rsidRDefault="00A169FD" w:rsidP="004442C0">
      <w:pPr>
        <w:spacing w:after="0" w:line="240" w:lineRule="auto"/>
      </w:pPr>
      <w:r>
        <w:separator/>
      </w:r>
    </w:p>
  </w:footnote>
  <w:footnote w:type="continuationSeparator" w:id="1">
    <w:p w:rsidR="00A169FD" w:rsidRDefault="00A169FD" w:rsidP="004442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01B12"/>
    <w:multiLevelType w:val="hybridMultilevel"/>
    <w:tmpl w:val="099CF3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37C7966"/>
    <w:multiLevelType w:val="hybridMultilevel"/>
    <w:tmpl w:val="018003E8"/>
    <w:lvl w:ilvl="0" w:tplc="40FA14D0">
      <w:start w:val="1"/>
      <w:numFmt w:val="bullet"/>
      <w:lvlText w:val="•"/>
      <w:lvlJc w:val="left"/>
      <w:pPr>
        <w:tabs>
          <w:tab w:val="num" w:pos="720"/>
        </w:tabs>
        <w:ind w:left="720" w:hanging="360"/>
      </w:pPr>
      <w:rPr>
        <w:rFonts w:ascii="Arial" w:hAnsi="Arial" w:hint="default"/>
      </w:rPr>
    </w:lvl>
    <w:lvl w:ilvl="1" w:tplc="AF04AAE4" w:tentative="1">
      <w:start w:val="1"/>
      <w:numFmt w:val="bullet"/>
      <w:lvlText w:val="•"/>
      <w:lvlJc w:val="left"/>
      <w:pPr>
        <w:tabs>
          <w:tab w:val="num" w:pos="1440"/>
        </w:tabs>
        <w:ind w:left="1440" w:hanging="360"/>
      </w:pPr>
      <w:rPr>
        <w:rFonts w:ascii="Arial" w:hAnsi="Arial" w:hint="default"/>
      </w:rPr>
    </w:lvl>
    <w:lvl w:ilvl="2" w:tplc="85407290" w:tentative="1">
      <w:start w:val="1"/>
      <w:numFmt w:val="bullet"/>
      <w:lvlText w:val="•"/>
      <w:lvlJc w:val="left"/>
      <w:pPr>
        <w:tabs>
          <w:tab w:val="num" w:pos="2160"/>
        </w:tabs>
        <w:ind w:left="2160" w:hanging="360"/>
      </w:pPr>
      <w:rPr>
        <w:rFonts w:ascii="Arial" w:hAnsi="Arial" w:hint="default"/>
      </w:rPr>
    </w:lvl>
    <w:lvl w:ilvl="3" w:tplc="8FE26B0E" w:tentative="1">
      <w:start w:val="1"/>
      <w:numFmt w:val="bullet"/>
      <w:lvlText w:val="•"/>
      <w:lvlJc w:val="left"/>
      <w:pPr>
        <w:tabs>
          <w:tab w:val="num" w:pos="2880"/>
        </w:tabs>
        <w:ind w:left="2880" w:hanging="360"/>
      </w:pPr>
      <w:rPr>
        <w:rFonts w:ascii="Arial" w:hAnsi="Arial" w:hint="default"/>
      </w:rPr>
    </w:lvl>
    <w:lvl w:ilvl="4" w:tplc="91063800" w:tentative="1">
      <w:start w:val="1"/>
      <w:numFmt w:val="bullet"/>
      <w:lvlText w:val="•"/>
      <w:lvlJc w:val="left"/>
      <w:pPr>
        <w:tabs>
          <w:tab w:val="num" w:pos="3600"/>
        </w:tabs>
        <w:ind w:left="3600" w:hanging="360"/>
      </w:pPr>
      <w:rPr>
        <w:rFonts w:ascii="Arial" w:hAnsi="Arial" w:hint="default"/>
      </w:rPr>
    </w:lvl>
    <w:lvl w:ilvl="5" w:tplc="E8A6D308" w:tentative="1">
      <w:start w:val="1"/>
      <w:numFmt w:val="bullet"/>
      <w:lvlText w:val="•"/>
      <w:lvlJc w:val="left"/>
      <w:pPr>
        <w:tabs>
          <w:tab w:val="num" w:pos="4320"/>
        </w:tabs>
        <w:ind w:left="4320" w:hanging="360"/>
      </w:pPr>
      <w:rPr>
        <w:rFonts w:ascii="Arial" w:hAnsi="Arial" w:hint="default"/>
      </w:rPr>
    </w:lvl>
    <w:lvl w:ilvl="6" w:tplc="62C0C364" w:tentative="1">
      <w:start w:val="1"/>
      <w:numFmt w:val="bullet"/>
      <w:lvlText w:val="•"/>
      <w:lvlJc w:val="left"/>
      <w:pPr>
        <w:tabs>
          <w:tab w:val="num" w:pos="5040"/>
        </w:tabs>
        <w:ind w:left="5040" w:hanging="360"/>
      </w:pPr>
      <w:rPr>
        <w:rFonts w:ascii="Arial" w:hAnsi="Arial" w:hint="default"/>
      </w:rPr>
    </w:lvl>
    <w:lvl w:ilvl="7" w:tplc="82068BDA" w:tentative="1">
      <w:start w:val="1"/>
      <w:numFmt w:val="bullet"/>
      <w:lvlText w:val="•"/>
      <w:lvlJc w:val="left"/>
      <w:pPr>
        <w:tabs>
          <w:tab w:val="num" w:pos="5760"/>
        </w:tabs>
        <w:ind w:left="5760" w:hanging="360"/>
      </w:pPr>
      <w:rPr>
        <w:rFonts w:ascii="Arial" w:hAnsi="Arial" w:hint="default"/>
      </w:rPr>
    </w:lvl>
    <w:lvl w:ilvl="8" w:tplc="958A365A" w:tentative="1">
      <w:start w:val="1"/>
      <w:numFmt w:val="bullet"/>
      <w:lvlText w:val="•"/>
      <w:lvlJc w:val="left"/>
      <w:pPr>
        <w:tabs>
          <w:tab w:val="num" w:pos="6480"/>
        </w:tabs>
        <w:ind w:left="6480" w:hanging="360"/>
      </w:pPr>
      <w:rPr>
        <w:rFonts w:ascii="Arial" w:hAnsi="Arial" w:hint="default"/>
      </w:rPr>
    </w:lvl>
  </w:abstractNum>
  <w:abstractNum w:abstractNumId="2">
    <w:nsid w:val="56401690"/>
    <w:multiLevelType w:val="hybridMultilevel"/>
    <w:tmpl w:val="3754F7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75347"/>
    <w:rsid w:val="00006FD1"/>
    <w:rsid w:val="0004411F"/>
    <w:rsid w:val="00091F1F"/>
    <w:rsid w:val="000A411D"/>
    <w:rsid w:val="000B5428"/>
    <w:rsid w:val="000B6DD3"/>
    <w:rsid w:val="000E4254"/>
    <w:rsid w:val="00103A13"/>
    <w:rsid w:val="00112631"/>
    <w:rsid w:val="001156C0"/>
    <w:rsid w:val="00195D1E"/>
    <w:rsid w:val="001B5381"/>
    <w:rsid w:val="001C379C"/>
    <w:rsid w:val="0020773D"/>
    <w:rsid w:val="002165F5"/>
    <w:rsid w:val="00221E71"/>
    <w:rsid w:val="0024008A"/>
    <w:rsid w:val="00293BE3"/>
    <w:rsid w:val="002B7907"/>
    <w:rsid w:val="002E5EEC"/>
    <w:rsid w:val="00303EDD"/>
    <w:rsid w:val="00374B10"/>
    <w:rsid w:val="0038307F"/>
    <w:rsid w:val="00392CEE"/>
    <w:rsid w:val="003B40B2"/>
    <w:rsid w:val="003E30AE"/>
    <w:rsid w:val="004442C0"/>
    <w:rsid w:val="00475347"/>
    <w:rsid w:val="004808BA"/>
    <w:rsid w:val="00493F0E"/>
    <w:rsid w:val="004B6564"/>
    <w:rsid w:val="004C5104"/>
    <w:rsid w:val="004C5D39"/>
    <w:rsid w:val="005624A4"/>
    <w:rsid w:val="00592808"/>
    <w:rsid w:val="005B02E3"/>
    <w:rsid w:val="005C4E2C"/>
    <w:rsid w:val="005C5BDA"/>
    <w:rsid w:val="005F085A"/>
    <w:rsid w:val="00607CBE"/>
    <w:rsid w:val="0064585B"/>
    <w:rsid w:val="006A234E"/>
    <w:rsid w:val="00721926"/>
    <w:rsid w:val="00743E5B"/>
    <w:rsid w:val="00782592"/>
    <w:rsid w:val="007F4EE1"/>
    <w:rsid w:val="00837C54"/>
    <w:rsid w:val="0085413F"/>
    <w:rsid w:val="008A5946"/>
    <w:rsid w:val="008C36A6"/>
    <w:rsid w:val="00904A34"/>
    <w:rsid w:val="00913EEC"/>
    <w:rsid w:val="00956DF5"/>
    <w:rsid w:val="00962F06"/>
    <w:rsid w:val="00973A2E"/>
    <w:rsid w:val="009B57D2"/>
    <w:rsid w:val="009B629D"/>
    <w:rsid w:val="009C4195"/>
    <w:rsid w:val="009E0437"/>
    <w:rsid w:val="00A169FD"/>
    <w:rsid w:val="00A53482"/>
    <w:rsid w:val="00A62D8A"/>
    <w:rsid w:val="00A82A3F"/>
    <w:rsid w:val="00AA545D"/>
    <w:rsid w:val="00AC5533"/>
    <w:rsid w:val="00AD6230"/>
    <w:rsid w:val="00BF3866"/>
    <w:rsid w:val="00C16735"/>
    <w:rsid w:val="00C2151A"/>
    <w:rsid w:val="00C83F87"/>
    <w:rsid w:val="00CA6CF9"/>
    <w:rsid w:val="00D00B3E"/>
    <w:rsid w:val="00D00F3D"/>
    <w:rsid w:val="00D216D9"/>
    <w:rsid w:val="00E2161C"/>
    <w:rsid w:val="00E24317"/>
    <w:rsid w:val="00E34665"/>
    <w:rsid w:val="00E34F95"/>
    <w:rsid w:val="00E64596"/>
    <w:rsid w:val="00F01BDC"/>
    <w:rsid w:val="00F564EC"/>
    <w:rsid w:val="00F81CE3"/>
    <w:rsid w:val="00FF46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Straight Arrow Connector 7"/>
        <o:r id="V:Rule7" type="connector" idref="#Straight Arrow Connector 29"/>
        <o:r id="V:Rule8" type="connector" idref="#Straight Arrow Connector 30"/>
        <o:r id="V:Rule9" type="connector" idref="#Straight Arrow Connector 11"/>
        <o:r id="V:Rule10" type="connector" idref="#Straight Arrow Connector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347"/>
    <w:pPr>
      <w:ind w:left="720"/>
      <w:contextualSpacing/>
    </w:pPr>
  </w:style>
  <w:style w:type="paragraph" w:styleId="Header">
    <w:name w:val="header"/>
    <w:basedOn w:val="Normal"/>
    <w:link w:val="HeaderChar"/>
    <w:uiPriority w:val="99"/>
    <w:unhideWhenUsed/>
    <w:rsid w:val="0044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42C0"/>
  </w:style>
  <w:style w:type="paragraph" w:styleId="Footer">
    <w:name w:val="footer"/>
    <w:basedOn w:val="Normal"/>
    <w:link w:val="FooterChar"/>
    <w:uiPriority w:val="99"/>
    <w:unhideWhenUsed/>
    <w:rsid w:val="0044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42C0"/>
  </w:style>
  <w:style w:type="paragraph" w:styleId="BalloonText">
    <w:name w:val="Balloon Text"/>
    <w:basedOn w:val="Normal"/>
    <w:link w:val="BalloonTextChar"/>
    <w:uiPriority w:val="99"/>
    <w:semiHidden/>
    <w:unhideWhenUsed/>
    <w:rsid w:val="00E34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6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8041902">
      <w:bodyDiv w:val="1"/>
      <w:marLeft w:val="0"/>
      <w:marRight w:val="0"/>
      <w:marTop w:val="0"/>
      <w:marBottom w:val="0"/>
      <w:divBdr>
        <w:top w:val="none" w:sz="0" w:space="0" w:color="auto"/>
        <w:left w:val="none" w:sz="0" w:space="0" w:color="auto"/>
        <w:bottom w:val="none" w:sz="0" w:space="0" w:color="auto"/>
        <w:right w:val="none" w:sz="0" w:space="0" w:color="auto"/>
      </w:divBdr>
      <w:divsChild>
        <w:div w:id="365835620">
          <w:marLeft w:val="547"/>
          <w:marRight w:val="0"/>
          <w:marTop w:val="0"/>
          <w:marBottom w:val="0"/>
          <w:divBdr>
            <w:top w:val="none" w:sz="0" w:space="0" w:color="auto"/>
            <w:left w:val="none" w:sz="0" w:space="0" w:color="auto"/>
            <w:bottom w:val="none" w:sz="0" w:space="0" w:color="auto"/>
            <w:right w:val="none" w:sz="0" w:space="0" w:color="auto"/>
          </w:divBdr>
        </w:div>
        <w:div w:id="718474922">
          <w:marLeft w:val="547"/>
          <w:marRight w:val="0"/>
          <w:marTop w:val="0"/>
          <w:marBottom w:val="0"/>
          <w:divBdr>
            <w:top w:val="none" w:sz="0" w:space="0" w:color="auto"/>
            <w:left w:val="none" w:sz="0" w:space="0" w:color="auto"/>
            <w:bottom w:val="none" w:sz="0" w:space="0" w:color="auto"/>
            <w:right w:val="none" w:sz="0" w:space="0" w:color="auto"/>
          </w:divBdr>
        </w:div>
      </w:divsChild>
    </w:div>
    <w:div w:id="2064988835">
      <w:bodyDiv w:val="1"/>
      <w:marLeft w:val="0"/>
      <w:marRight w:val="0"/>
      <w:marTop w:val="0"/>
      <w:marBottom w:val="0"/>
      <w:divBdr>
        <w:top w:val="none" w:sz="0" w:space="0" w:color="auto"/>
        <w:left w:val="none" w:sz="0" w:space="0" w:color="auto"/>
        <w:bottom w:val="none" w:sz="0" w:space="0" w:color="auto"/>
        <w:right w:val="none" w:sz="0" w:space="0" w:color="auto"/>
      </w:divBdr>
    </w:div>
    <w:div w:id="208687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3.wdp"/><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0E0C5-28B7-48B1-B399-1D729A08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8</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PERIO DEPARTMENT</cp:lastModifiedBy>
  <cp:revision>24</cp:revision>
  <dcterms:created xsi:type="dcterms:W3CDTF">2018-04-10T04:02:00Z</dcterms:created>
  <dcterms:modified xsi:type="dcterms:W3CDTF">2018-06-01T06:48:00Z</dcterms:modified>
</cp:coreProperties>
</file>